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B5" w:rsidRDefault="007C16B5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  <w:r w:rsidR="00693428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428" w:rsidRPr="007E5C21" w:rsidRDefault="00693428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внешней проверки годового отчета об исполнении бюджета сельского поселения Шапша за 20</w:t>
      </w:r>
      <w:r w:rsidR="003E7DAB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5C21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693428" w:rsidRPr="007E5C21" w:rsidRDefault="00693428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7E5C2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3E7DAB" w:rsidRPr="007E5C21" w:rsidRDefault="00693428" w:rsidP="0091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</w:t>
      </w:r>
      <w:r w:rsidR="00BB29EF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</w:t>
      </w:r>
      <w:r w:rsidR="00E63EE2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Ханты-Мансийского района», </w:t>
      </w:r>
      <w:r w:rsidR="003E7DAB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proofErr w:type="gramEnd"/>
      <w:r w:rsidR="003E7DAB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</w:t>
      </w:r>
      <w:r w:rsidR="007E5C21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                       К</w:t>
      </w:r>
      <w:r w:rsidR="003E7DAB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                                    </w:t>
      </w:r>
      <w:r w:rsidR="007E5C21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№ 56 «Об утверждении плана работы К</w:t>
      </w:r>
      <w:r w:rsidR="00801B1F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</w:t>
      </w:r>
      <w:r w:rsidR="007E5C21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на 2023</w:t>
      </w:r>
      <w:r w:rsidR="00801B1F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3E7DAB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                             о принятии полномочий по осуществлению внешнего муниципального финансового контроля от </w:t>
      </w:r>
      <w:r w:rsidR="00BB29EF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29EF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DAB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7E5C21" w:rsidRDefault="00693428" w:rsidP="0091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                              финансово-экономическим сектором администрации сельского поселения Шапша.</w:t>
      </w:r>
    </w:p>
    <w:p w:rsidR="00693428" w:rsidRPr="007E5C2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экспертно-аналитического мероприятия: </w:t>
      </w:r>
    </w:p>
    <w:p w:rsidR="00693428" w:rsidRPr="007E5C2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 сельского поселения Шапша.</w:t>
      </w:r>
    </w:p>
    <w:p w:rsidR="00693428" w:rsidRPr="007E5C2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7E5C2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«</w:t>
      </w:r>
      <w:r w:rsidR="00344E76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Шапша» за 202</w:t>
      </w:r>
      <w:r w:rsid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8D162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8D162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Шапша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7E5C2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928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экспертно-аналитического мероприятия:</w:t>
      </w:r>
    </w:p>
    <w:p w:rsidR="009E3D45" w:rsidRPr="007159CE" w:rsidRDefault="007E5C21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С 07 м</w:t>
      </w:r>
      <w:r w:rsidR="009F4D45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20</w:t>
      </w:r>
      <w:r w:rsidR="004B433A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9EF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7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9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1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</w:t>
      </w:r>
      <w:r w:rsidR="00344E76" w:rsidRPr="0071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978D7" w:rsidRPr="00715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71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8D162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045EB0" w:rsidRPr="008D1622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сельского поселения                             за 202</w:t>
      </w:r>
      <w:r w:rsidR="007E5C21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годовой отчет) представлен в </w:t>
      </w:r>
      <w:r w:rsidR="007E5C21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Ханты-Мансийского района </w:t>
      </w:r>
      <w:r w:rsidR="008D1622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29EF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8D1622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 264.4. БК РФ.</w:t>
      </w:r>
    </w:p>
    <w:p w:rsidR="00045EB0" w:rsidRPr="008D1622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045EB0" w:rsidRPr="008D1622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</w:t>
      </w:r>
      <w:r w:rsidR="00BB29EF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.12.2010 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 «Об утверждении Инструкции о порядке составления</w:t>
      </w:r>
      <w:r w:rsidR="00BB29EF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годовой, квартальной и месячной отчетности</w:t>
      </w:r>
      <w:r w:rsidR="00BB29EF"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бюджетов бюджетной системы Российской Федерации» (далее - Инструкция 191н).</w:t>
      </w:r>
    </w:p>
    <w:p w:rsidR="00EA68EB" w:rsidRPr="008D1622" w:rsidRDefault="00EA68EB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045EB0" w:rsidRPr="008820DE" w:rsidRDefault="0084711C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</w:t>
      </w:r>
      <w:r w:rsidR="00E36F44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45EB0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представления отчета об исполнении местного бюджета, установленный статьей </w:t>
      </w:r>
      <w:r w:rsidR="001A0CA1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5EB0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сельского поселения </w:t>
      </w:r>
      <w:r w:rsidR="00210A08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от 19.06.2015 № 128 </w:t>
      </w:r>
      <w:r w:rsidR="00045EB0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A08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C4735D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0A08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Шапша</w:t>
      </w:r>
      <w:r w:rsidR="00045EB0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 о бюджетном процессе)</w:t>
      </w:r>
      <w:r w:rsidR="00EA68EB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3.3. решения Совета депутатов сельского поселения Шапша от 30.10.2020 № 128 «Об утверждении Положения </w:t>
      </w:r>
      <w:r w:rsidR="00C4735D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68EB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внешней проверки годового отчета об исполнении бюджета</w:t>
      </w:r>
      <w:proofErr w:type="gramEnd"/>
      <w:r w:rsidR="00EA68EB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Шапша»</w:t>
      </w:r>
      <w:r w:rsidR="006F3D2F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 Совета депутатов от 30.10.2020 № 128) </w:t>
      </w:r>
      <w:r w:rsidR="00E36F44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администрацией сельского поселения годового отчета для подготовки заключения в срок </w:t>
      </w:r>
      <w:r w:rsidR="00045EB0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позднее 01 апреля текущего года», соблюден.</w:t>
      </w:r>
    </w:p>
    <w:p w:rsidR="006F3D2F" w:rsidRDefault="008820D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3D2F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F3D2F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Шапша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30.10.2020 № 128 </w:t>
      </w:r>
      <w:r w:rsidR="006F3D2F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перечень материалов, </w:t>
      </w:r>
      <w:r w:rsidR="0084711C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6F3D2F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внешней проверки годового отчета                         об исполнении </w:t>
      </w:r>
      <w:r w:rsidR="00297D57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Шап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ша.</w:t>
      </w:r>
    </w:p>
    <w:p w:rsidR="00B659C4" w:rsidRPr="00D873CA" w:rsidRDefault="008820D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д</w:t>
      </w:r>
      <w:r w:rsidR="00B659C4" w:rsidRPr="00D8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проведения внешней проверки годового отчета об исполнении бюджета сельского поселения Шапша документы, утвержденные вышеуказанным перечнем, не</w:t>
      </w:r>
      <w:r w:rsidR="00B659C4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C4" w:rsidRPr="00D8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предоставлены</w:t>
      </w:r>
      <w:r w:rsidR="00B659C4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2D4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сельского поселения Шапша;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льготах, предоставленных по аренде земельных участков и имущества, с указанием постановлений (решений)</w:t>
      </w:r>
      <w:r w:rsidR="00C4735D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льгот, получателей по принадлежности, а также выпадающих доходов бюджета сельского поселения Шапша;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имущества, переданного в безвозмездное пользование, </w:t>
      </w:r>
      <w:r w:rsidR="00C4735D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основания его передачи, пользователей имущества и сумм выпадающих доходов бюджета сельского поселения Шапша;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социально-экономического развития сельского поселения Шапша;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реализации на территории сельского поселения Шапша федеральных, региональных, муниципальных целевых программ,</w:t>
      </w:r>
      <w:r w:rsidR="00C4735D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формирования и реализации муниципальных программ;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доле участия органов местного самоуправления сельского поселения Шапша в созданных с участием органов местного самоуправления сельского поселения Шапша предприятиях </w:t>
      </w:r>
      <w:r w:rsidR="00C4735D"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 (при наличии);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порядке приватизации муниципального имущества;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программы приватизации;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управления и распоряжения земельными участками;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договоров аренды объектов муниципальной собственности;</w:t>
      </w:r>
    </w:p>
    <w:p w:rsidR="00B659C4" w:rsidRPr="00D873CA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муниципальных контрактов.</w:t>
      </w:r>
    </w:p>
    <w:p w:rsidR="00D873CA" w:rsidRPr="006F2E6C" w:rsidRDefault="00D873C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что данное замечание приводится повторно. </w:t>
      </w:r>
      <w:proofErr w:type="gramStart"/>
      <w:r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Предложение</w:t>
      </w:r>
      <w:r w:rsidR="006F2E6C"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Контрольно-счетной палаты</w:t>
      </w:r>
      <w:r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уточнении содержания Положения о порядке проведения внешней проверки годового отчета об исполнении бюджета сельского поселения Шапша в части перечня материалов предоставляемых для проведения внешней проверки </w:t>
      </w:r>
      <w:r w:rsidR="006F2E6C"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оставлено без внимания</w:t>
      </w:r>
      <w:r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(Заключение по результатам проведения внешней проверки годового отчета об исполнении бюджета сельского поселения Шапша за 2021 год  № 19-Исх-106 от 13.04.2022)</w:t>
      </w:r>
      <w:r w:rsidR="006F2E6C" w:rsidRPr="006F2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045EB0" w:rsidRPr="006978D7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экспертно-аналитического мероприятия установлено, что </w:t>
      </w:r>
      <w:r w:rsidR="00D91376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91376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Совета депутатов сельского поселения </w:t>
      </w:r>
      <w:r w:rsidR="00D91376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отчета об исполнении бюджета сельского поселения </w:t>
      </w:r>
      <w:r w:rsidR="00595259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 w:rsidR="00166311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(далее – проект решения</w:t>
      </w:r>
      <w:r w:rsidR="00DC2D85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595259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 </w:t>
      </w:r>
      <w:r w:rsidR="00595259"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требованиям статьи 264.6. Бюджетного кодекса РФ. Объем доходов и расходов, размер профицита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соответствуют представленной отчетности. </w:t>
      </w:r>
    </w:p>
    <w:p w:rsidR="006978D7" w:rsidRDefault="006978D7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3428" w:rsidRPr="006978D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Шапша</w:t>
      </w:r>
      <w:r w:rsidR="00724F0E" w:rsidRPr="00697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E3D45" w:rsidRPr="00DE01BC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DE01B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DE01B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42E6" w:rsidRPr="00DE01B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1A51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4099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1A51" w:rsidRPr="00DE01B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1A51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324099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A51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Шапша на очередной 202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и на плановый период 20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24099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1A51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первоначальной редакции) утверждены основные характеристики бюджета сельского поселения</w:t>
      </w:r>
      <w:r w:rsidR="00761A51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C64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40 179,7</w:t>
      </w:r>
      <w:r w:rsidR="00324099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42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расходы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4 179,7</w:t>
      </w:r>
      <w:r w:rsidR="00324099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9E3D45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 тыс. рублей.</w:t>
      </w:r>
      <w:proofErr w:type="gramEnd"/>
    </w:p>
    <w:p w:rsidR="009E3D4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1BC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2E6"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бюджет сельского поселения вносились изменения, в результате которых бюджет сельского поселения увеличился: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на 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21 155,9 </w:t>
      </w:r>
      <w:r w:rsidR="00C00BC2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="007E051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E3D4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="007E051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E01BC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 335,6</w:t>
      </w:r>
      <w:r w:rsidR="00B242E6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на 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21 372,9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E01BC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7E051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7E051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1 552,1</w:t>
      </w:r>
      <w:r w:rsidR="007E051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Дефицит бюджета </w:t>
      </w:r>
      <w:r w:rsidR="00C00BC2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</w:t>
      </w:r>
      <w:r w:rsidR="00220A2C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216,</w:t>
      </w:r>
      <w:r w:rsidR="007E0515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20C4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</w:t>
      </w:r>
      <w:r w:rsidR="00BC0836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B79"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исполнены в </w:t>
      </w:r>
      <w:r w:rsidR="00696F3E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4C41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61 335,7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0CD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4C41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</w:t>
      </w:r>
      <w:r w:rsidR="00696F3E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60 599,</w:t>
      </w:r>
      <w:r w:rsidR="00D245B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45B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плана; в результате исполнения бюджета сельского поселения за 20</w:t>
      </w:r>
      <w:r w:rsidR="00BC0836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5B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6E20C4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0A2C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6E20C4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5B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144,1</w:t>
      </w:r>
      <w:r w:rsidR="007E051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073ECF" w:rsidRPr="00392EDB" w:rsidRDefault="00073ECF" w:rsidP="00073EC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формы 0503178 «Сведения об остатках денежных средств на счетах получателя бюджетных средств» источником покрытия дефицита является остаток средств на счете на начало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216,4 тыс. рублей. На конец отчетного периода остаток средств на счете составил 72,3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(216,4-72,3=144,1).</w:t>
      </w:r>
    </w:p>
    <w:p w:rsidR="00693428" w:rsidRPr="00D245B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 сельского поселения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="009E3D4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DC4C41" w:rsidRDefault="0069342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4C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DC4C41" w:rsidRDefault="0069342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C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1176"/>
        <w:gridCol w:w="1049"/>
        <w:gridCol w:w="1602"/>
        <w:gridCol w:w="1125"/>
        <w:gridCol w:w="985"/>
        <w:gridCol w:w="1018"/>
        <w:gridCol w:w="1134"/>
        <w:gridCol w:w="984"/>
      </w:tblGrid>
      <w:tr w:rsidR="007E0515" w:rsidRPr="00DC4C41" w:rsidTr="00E73B9F">
        <w:trPr>
          <w:trHeight w:val="56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</w:tr>
      <w:tr w:rsidR="007E0515" w:rsidRPr="00DC4C41" w:rsidTr="00AB7ABD">
        <w:trPr>
          <w:trHeight w:val="1085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</w:t>
            </w: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данным отчета об исполнении бюджета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DC4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                         от 2</w:t>
            </w:r>
            <w:r w:rsid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872DB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.12.2021</w:t>
            </w: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208</w:t>
            </w: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(с изменениями)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E0515" w:rsidRPr="00DC4C41" w:rsidTr="00AB7ABD">
        <w:trPr>
          <w:trHeight w:val="56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DC4C41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4C4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DC4C41" w:rsidRPr="007C16B5" w:rsidTr="007C16B5">
        <w:trPr>
          <w:trHeight w:val="241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DC4C41" w:rsidRDefault="00DC4C41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C4C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61 335,7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61 335,7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60 455,5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60 455,5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98,6</w:t>
            </w:r>
          </w:p>
        </w:tc>
      </w:tr>
      <w:tr w:rsidR="00DC4C41" w:rsidRPr="007C16B5" w:rsidTr="007C16B5">
        <w:trPr>
          <w:trHeight w:val="27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DC4C41" w:rsidRDefault="00DC4C41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C4C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61 552,1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61 552,1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60 599,6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60 599,6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98,5</w:t>
            </w:r>
          </w:p>
        </w:tc>
      </w:tr>
      <w:tr w:rsidR="00DC4C41" w:rsidRPr="007C16B5" w:rsidTr="007C16B5">
        <w:trPr>
          <w:trHeight w:val="277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DC4C41" w:rsidRDefault="00DC4C41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C4C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-216,4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-216,4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-144,1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-144,1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41" w:rsidRPr="007C16B5" w:rsidRDefault="00DC4C41" w:rsidP="007C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C16B5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</w:tbl>
    <w:p w:rsidR="007E0515" w:rsidRPr="007E5C21" w:rsidRDefault="007E051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7C0A" w:rsidRPr="00D245B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245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 поселения Шапша:</w:t>
      </w:r>
    </w:p>
    <w:p w:rsidR="00693428" w:rsidRPr="00D245B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</w:t>
      </w:r>
      <w:r w:rsidR="007440CD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по доходам </w:t>
      </w:r>
      <w:r w:rsidR="00557C0A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40CD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245B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E1AD3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5B5"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D245B5" w:rsidRDefault="00C32BD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45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D245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p w:rsidR="002E1AD3" w:rsidRPr="007E5C21" w:rsidRDefault="002E1AD3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D245B5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851"/>
        <w:gridCol w:w="708"/>
        <w:gridCol w:w="709"/>
        <w:gridCol w:w="1134"/>
        <w:gridCol w:w="992"/>
        <w:gridCol w:w="992"/>
      </w:tblGrid>
      <w:tr w:rsidR="00032568" w:rsidRPr="00A96D06" w:rsidTr="001A6C1C">
        <w:trPr>
          <w:trHeight w:val="58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CE7FB2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2022 года от факта 2021</w:t>
            </w:r>
            <w:r w:rsidR="007E0515"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1A6C1C" w:rsidRPr="00A96D06" w:rsidTr="001A6C1C">
        <w:trPr>
          <w:trHeight w:val="104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2568" w:rsidRPr="00A96D06" w:rsidTr="00724F0E">
        <w:trPr>
          <w:trHeight w:val="13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2568" w:rsidRPr="00A96D06" w:rsidTr="001A6C1C">
        <w:trPr>
          <w:trHeight w:val="5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96D06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A96D06" w:rsidRPr="00A96D06" w:rsidTr="00370825">
        <w:trPr>
          <w:trHeight w:val="18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56 389,1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61 335,7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60 455,5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4 066,4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107,2</w:t>
            </w:r>
          </w:p>
        </w:tc>
      </w:tr>
      <w:tr w:rsidR="00A96D06" w:rsidRPr="00A96D06" w:rsidTr="00370825">
        <w:trPr>
          <w:trHeight w:val="197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Налоговые и неналоговые доходы, в </w:t>
            </w:r>
            <w:proofErr w:type="spellStart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7 133,6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11 120,2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10 808,9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3 675,3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151,5</w:t>
            </w:r>
          </w:p>
        </w:tc>
      </w:tr>
      <w:tr w:rsidR="00A96D06" w:rsidRPr="00A96D06" w:rsidTr="00370825">
        <w:trPr>
          <w:trHeight w:val="22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Налоговые доходы, в </w:t>
            </w:r>
            <w:proofErr w:type="spellStart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6 448,9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9 419,1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9 114,3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2 665,4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141,3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4 748,9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5 396,9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5 406,4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113,8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2 032,2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2 453,7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2 457,3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120,9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96D06" w:rsidRPr="00A96D06" w:rsidTr="00370825">
        <w:trPr>
          <w:trHeight w:val="53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-325,2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1 490,9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1 250,6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1 575,8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-384,6</w:t>
            </w:r>
          </w:p>
        </w:tc>
      </w:tr>
      <w:tr w:rsidR="00A96D06" w:rsidRPr="00A96D06" w:rsidTr="007159C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C756F5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161,3</w:t>
            </w:r>
          </w:p>
        </w:tc>
      </w:tr>
      <w:tr w:rsidR="00A96D06" w:rsidRPr="00A96D06" w:rsidTr="007159CE">
        <w:trPr>
          <w:trHeight w:val="6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13,2</w:t>
            </w:r>
          </w:p>
        </w:tc>
      </w:tr>
      <w:tr w:rsidR="00A96D06" w:rsidRPr="00A96D06" w:rsidTr="007159CE">
        <w:trPr>
          <w:trHeight w:val="26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Неналоговые доходы, в </w:t>
            </w:r>
            <w:proofErr w:type="spellStart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684,7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1 701,1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1 694,6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1 009,9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247,5</w:t>
            </w:r>
          </w:p>
        </w:tc>
      </w:tr>
      <w:tr w:rsidR="00A96D06" w:rsidRPr="00A96D06" w:rsidTr="007159CE">
        <w:trPr>
          <w:trHeight w:val="75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109,8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159,9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245,6</w:t>
            </w:r>
          </w:p>
        </w:tc>
      </w:tr>
      <w:tr w:rsidR="00A96D06" w:rsidRPr="00A96D06" w:rsidTr="007159CE">
        <w:trPr>
          <w:trHeight w:val="45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96D06" w:rsidRPr="00A96D06" w:rsidTr="00370825">
        <w:trPr>
          <w:trHeight w:val="57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1 411,4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1 411,4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871,8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261,5</w:t>
            </w:r>
          </w:p>
        </w:tc>
      </w:tr>
      <w:tr w:rsidR="00A96D06" w:rsidRPr="00A96D06" w:rsidTr="00370825">
        <w:trPr>
          <w:trHeight w:val="35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 возмещения ущерба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-35,2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Безвозмездные поступления, в </w:t>
            </w:r>
            <w:proofErr w:type="spellStart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A96D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49 255,5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50 215,5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49 646,6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391,1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100,8</w:t>
            </w:r>
          </w:p>
        </w:tc>
      </w:tr>
      <w:tr w:rsidR="00A96D06" w:rsidRPr="00A96D06" w:rsidTr="00370825">
        <w:trPr>
          <w:trHeight w:val="27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26 143,6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29 068,4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29 068,4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2 924,8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111,2</w:t>
            </w:r>
          </w:p>
        </w:tc>
      </w:tr>
      <w:tr w:rsidR="00A96D06" w:rsidRPr="00A96D06" w:rsidTr="00370825">
        <w:trPr>
          <w:trHeight w:val="2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3 726,5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2 579,4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2 511,4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-1 215,1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67,4</w:t>
            </w:r>
          </w:p>
        </w:tc>
      </w:tr>
      <w:tr w:rsidR="00A96D06" w:rsidRPr="00A96D06" w:rsidTr="00370825">
        <w:trPr>
          <w:trHeight w:val="25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108,0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18 698,5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17 939,4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17 438,5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-1 260,0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93,3</w:t>
            </w:r>
          </w:p>
        </w:tc>
      </w:tr>
      <w:tr w:rsidR="00A96D06" w:rsidRPr="00A96D06" w:rsidTr="00370825">
        <w:trPr>
          <w:trHeight w:val="373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-79,5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81,3</w:t>
            </w:r>
          </w:p>
        </w:tc>
      </w:tr>
      <w:tr w:rsidR="00A96D06" w:rsidRPr="00A96D06" w:rsidTr="00370825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06" w:rsidRPr="00A96D06" w:rsidRDefault="00A96D06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6D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A96D06" w:rsidRDefault="00A96D0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D06" w:rsidRPr="00A96D06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годового отчета</w:t>
      </w:r>
      <w:r w:rsidR="00696F3E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</w:t>
      </w:r>
      <w:r w:rsidR="006425B5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доходам исполнен за 202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60 455,5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налоговые и неналоговые доходы в сумме 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10 808,9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B4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07D7C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безвозмездные поступления в сумме 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49 646,6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EB5B17" w:rsidRPr="00A96D06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плана, в том числе: налоговые</w:t>
      </w:r>
      <w:r w:rsidR="001D29B4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неналоговые доходы на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97,2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B5B17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6D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B0A06"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D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1989" w:rsidRPr="0020177F" w:rsidRDefault="002A284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20</w:t>
      </w:r>
      <w:r w:rsidR="00A96D06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исполнение бюджета по доходам </w:t>
      </w:r>
      <w:r w:rsidR="005E41E5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B66E6D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09154F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>4 066,4</w:t>
      </w:r>
      <w:r w:rsidR="001B0A06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0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9154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7,2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 этом налоговые                    и неналоговые доходы </w:t>
      </w:r>
      <w:r w:rsidR="00B66E6D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="00B66E6D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3 675,3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4FD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51,5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безвозмездных поступлений отмечается </w:t>
      </w:r>
      <w:r w:rsidR="005E41E5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DD60B7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1B0A06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89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55" w:rsidRPr="0020177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доходных источников </w:t>
      </w:r>
      <w:r w:rsidR="00DD60B7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величилась доля собственных доходов </w:t>
      </w:r>
      <w:r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DD60B7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89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751989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безвозмездных поступлений </w:t>
      </w:r>
      <w:r w:rsidR="005E41E5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меньшилась с </w:t>
      </w:r>
      <w:r w:rsidR="005A2180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87,3 </w:t>
      </w:r>
      <w:r w:rsidR="00751989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0177F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82,1 %</w:t>
      </w:r>
      <w:r w:rsidR="00300955" w:rsidRPr="00201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55" w:rsidRPr="00BD4F3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5E41E5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в 202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</w:t>
      </w:r>
      <w:r w:rsidR="00EF0E8D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в общем объеме доходов поселения составила</w:t>
      </w:r>
      <w:r w:rsidR="00EF0E8D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2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A218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010003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10 808,9</w:t>
      </w:r>
      <w:r w:rsidR="005A218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54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доля налоговых доходов</w:t>
      </w:r>
      <w:r w:rsidR="00300955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2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составила </w:t>
      </w:r>
      <w:r w:rsidR="005A218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5,1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9 114,3</w:t>
      </w:r>
      <w:r w:rsidR="005A218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доля неналоговых доходов составила</w:t>
      </w:r>
      <w:r w:rsidR="00EF0E8D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</w:t>
      </w:r>
      <w:r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D4F3F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1 694,6</w:t>
      </w:r>
      <w:r w:rsidR="005A2180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54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00955" w:rsidRPr="00BD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0955" w:rsidRPr="00B7140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</w:t>
      </w:r>
      <w:r w:rsidR="00F45DDE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D4F3F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1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общем объеме исполненных доходов составляют налоги на </w:t>
      </w:r>
      <w:r w:rsidR="00FC2F59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59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5 406,4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уточненного плана.</w:t>
      </w:r>
    </w:p>
    <w:p w:rsidR="00300955" w:rsidRPr="00B7140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20F4E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по налогам на прибыль</w:t>
      </w:r>
      <w:r w:rsidR="0034002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0003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1732A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657,5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</w:t>
      </w:r>
      <w:r w:rsidR="0051732A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880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FC2F59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показателю 20</w:t>
      </w:r>
      <w:r w:rsidR="00EE186C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732A"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926E1" w:rsidRPr="00C91974" w:rsidRDefault="00FC2F5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(акцизы)</w:t>
      </w:r>
      <w:r w:rsidR="005A515E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0003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407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15E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16880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                                         </w:t>
      </w:r>
      <w:r w:rsidR="005A515E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1407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425,1</w:t>
      </w:r>
      <w:r w:rsidR="00D16880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5E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D16880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B71407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="00D16880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5E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</w:t>
      </w:r>
      <w:r w:rsidR="00300955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логичному показателю</w:t>
      </w:r>
      <w:r w:rsidR="00B71407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F4F3F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 этом </w:t>
      </w:r>
      <w:r w:rsidR="00010003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 плану составило </w:t>
      </w:r>
      <w:r w:rsidR="006926E1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407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00,01</w:t>
      </w:r>
      <w:r w:rsidR="006926E1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2</w:t>
      </w:r>
      <w:r w:rsidR="00B71407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 457,3</w:t>
      </w:r>
      <w:r w:rsidR="006926E1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0955" w:rsidRPr="00C91974" w:rsidRDefault="00010003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="00447E13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планом на </w:t>
      </w:r>
      <w:r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1974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6E1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47E13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объеме </w:t>
      </w:r>
      <w:r w:rsidR="00C91974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="00447E13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отсутствует.                    </w:t>
      </w:r>
      <w:r w:rsidR="00C91974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DCA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974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году исполнение  также отсутствовало</w:t>
      </w:r>
      <w:r w:rsidR="00300955" w:rsidRPr="00C9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20D" w:rsidRPr="00DD0AB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имущество (налог на имущество физических 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земельный налог)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6A54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A54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исполнены в объеме 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1 250,6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26A54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плана.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аналогичному по</w:t>
      </w:r>
      <w:r w:rsidR="006D6DCA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казателю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DCA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689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D503CF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 1 575,8  тыс. рублей</w:t>
      </w:r>
      <w:r w:rsid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исполнение составило </w:t>
      </w:r>
      <w:proofErr w:type="gramStart"/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минус) 325,2</w:t>
      </w:r>
      <w:r w:rsidR="0056578B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DCA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было</w:t>
      </w:r>
      <w:r w:rsidR="00C8020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пересчетом кадастровой стоимости земельного участка</w:t>
      </w:r>
      <w:r w:rsidR="00162D4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162D4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Стройфинансгрупп</w:t>
      </w:r>
      <w:proofErr w:type="spellEnd"/>
      <w:r w:rsidR="00162D4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020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020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</w:t>
      </w:r>
      <w:r w:rsidR="00C8020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уплаченного</w:t>
      </w:r>
      <w:r w:rsidR="00E2216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0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сельского поселения земельного налога</w:t>
      </w:r>
      <w:r w:rsidR="00162D4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0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2018-2020 годы.</w:t>
      </w:r>
    </w:p>
    <w:p w:rsidR="00022709" w:rsidRPr="00DD0ABD" w:rsidRDefault="00926A5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в 202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исполнена в объеме     </w:t>
      </w:r>
      <w:r w:rsidR="006D6DCA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693428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="00693428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="005952DA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аналогичному показателю 20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C3689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на </w:t>
      </w:r>
      <w:r w:rsidR="00E2216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16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2216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2216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BD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61,3</w:t>
      </w:r>
      <w:r w:rsidR="00E22167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09" w:rsidRPr="00DD0AB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2709" w:rsidRPr="00C756F5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в 20</w:t>
      </w:r>
      <w:r w:rsidR="00453118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ABD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                        </w:t>
      </w:r>
      <w:r w:rsidR="00DD0ABD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1 694,6</w:t>
      </w:r>
      <w:r w:rsidR="00DA6C4B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D0ABD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="00DA6C4B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7424F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показателю 20</w:t>
      </w:r>
      <w:r w:rsidR="00DD0ABD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A6C4B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DD0ABD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1 009,9</w:t>
      </w:r>
      <w:r w:rsidR="00DA6C4B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2270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24F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56F5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147,5</w:t>
      </w:r>
      <w:r w:rsidR="00DA6C4B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022709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E2" w:rsidRPr="00F464D5" w:rsidRDefault="0002270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428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аибольший удельный вес в общем объеме </w:t>
      </w:r>
      <w:r w:rsidR="00C756F5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93428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занимают </w:t>
      </w:r>
      <w:r w:rsidR="00AE50E2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 w:rsidR="005952DA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DA6C4B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%</w:t>
      </w:r>
      <w:r w:rsidR="00AE50E2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56F5">
        <w:rPr>
          <w:rFonts w:ascii="Times New Roman" w:eastAsia="Times New Roman" w:hAnsi="Times New Roman" w:cs="Times New Roman"/>
          <w:sz w:val="28"/>
          <w:szCs w:val="28"/>
          <w:lang w:eastAsia="ru-RU"/>
        </w:rPr>
        <w:t>1 411,</w:t>
      </w:r>
      <w:r w:rsidR="00C756F5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6C4B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E50E2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56F5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A6C4B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13928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DA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C756F5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C756F5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A6C4B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DA6C4B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3414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871,8</w:t>
      </w:r>
      <w:r w:rsidR="00DA6C4B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82E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AE50E2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14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161,5</w:t>
      </w:r>
      <w:r w:rsidR="00DA6C4B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1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3928" w:rsidRPr="00F464D5" w:rsidRDefault="003E642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                                   в государственной и муниципальной собственности </w:t>
      </w:r>
      <w:r w:rsidR="0045311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E5BCC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</w:t>
      </w:r>
      <w:r w:rsidR="00D006B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бъеме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269,7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плана. </w:t>
      </w: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00CCF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                                     </w:t>
      </w:r>
      <w:r w:rsidR="006934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CF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139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145,6</w:t>
      </w:r>
      <w:r w:rsidR="00447E13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3928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7596" w:rsidRPr="00F464D5" w:rsidRDefault="00447E13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42759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рафы,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 возмещения ущерба в 2022</w:t>
      </w:r>
      <w:r w:rsidR="0042759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сельского поселения не поступали</w:t>
      </w:r>
      <w:r w:rsidR="0042759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уточненным планом данные доходы        не предусмотрены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аналогичному показателю 2021</w:t>
      </w:r>
      <w:r w:rsidR="0042759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снижение на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="0042759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8734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427596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64D5" w:rsidRPr="00F464D5" w:rsidRDefault="0042759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и компенсации затрат госуд</w:t>
      </w:r>
      <w:r w:rsidR="00F464D5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арства уточненным планом на 2022</w:t>
      </w: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</w:t>
      </w:r>
      <w:r w:rsidR="00F464D5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мотрены в объеме              20</w:t>
      </w: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исполнение</w:t>
      </w:r>
      <w:r w:rsidR="00F464D5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5,9 тыс. рублей</w:t>
      </w:r>
      <w:r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D5" w:rsidRPr="00F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29,5 %.</w:t>
      </w:r>
    </w:p>
    <w:p w:rsidR="004B23C4" w:rsidRPr="00BF40F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1641B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в 202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 646,6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83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9D47D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дотаций в общем объеме </w:t>
      </w:r>
      <w:r w:rsidR="00307783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29 068,4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D47D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доля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2 511,4</w:t>
      </w:r>
      <w:r w:rsidR="0042759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</w:t>
      </w:r>
      <w:r w:rsidR="009D47D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 w:rsidR="001641B6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</w:t>
      </w:r>
      <w:r w:rsidR="00F464D5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83,3 т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доля иных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составила 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proofErr w:type="gramEnd"/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17 438,5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7D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297D57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97D57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государственных (муниципальных) организаций составила 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57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345,0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57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83" w:rsidRPr="00BF40FF" w:rsidRDefault="00D6646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297D57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93428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на 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0,8</w:t>
      </w:r>
      <w:r w:rsidR="004B23C4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641B6" w:rsidRPr="00BF40FF" w:rsidRDefault="001641B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3028" w:rsidRPr="00BF40FF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F40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расходной части бюджета сельского поселения Шапша:</w:t>
      </w:r>
    </w:p>
    <w:p w:rsidR="00262D35" w:rsidRPr="0091276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BF40FF"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91276D"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="0090504F"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90504F"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1276D"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1 372,4</w:t>
      </w:r>
      <w:r w:rsidR="0090504F"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(Таблица 3).  </w:t>
      </w:r>
    </w:p>
    <w:p w:rsidR="00262D35" w:rsidRPr="0091276D" w:rsidRDefault="00262D35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27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90504F" w:rsidRPr="0091276D" w:rsidRDefault="0090504F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7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7"/>
        <w:gridCol w:w="2266"/>
        <w:gridCol w:w="1277"/>
        <w:gridCol w:w="847"/>
      </w:tblGrid>
      <w:tr w:rsidR="0091276D" w:rsidRPr="0091276D" w:rsidTr="004E774A">
        <w:trPr>
          <w:trHeight w:val="58"/>
        </w:trPr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  <w:hideMark/>
          </w:tcPr>
          <w:p w:rsidR="0091276D" w:rsidRPr="0091276D" w:rsidRDefault="00912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2022 год,                         тыс. рублей                               (решение Совета                  депутатов                                       от 23.12.2021           </w:t>
            </w:r>
            <w:r w:rsid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№ 208)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  <w:hideMark/>
          </w:tcPr>
          <w:p w:rsidR="0091276D" w:rsidRPr="0091276D" w:rsidRDefault="00912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      план на 2022 год,                         тыс. рублей                               (решение Совета                  депутатов                                        от 14.12.2022                                     № 269)</w:t>
            </w:r>
          </w:p>
        </w:tc>
        <w:tc>
          <w:tcPr>
            <w:tcW w:w="1172" w:type="pct"/>
            <w:gridSpan w:val="2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91276D" w:rsidRPr="0091276D" w:rsidTr="004E774A">
        <w:trPr>
          <w:trHeight w:val="253"/>
        </w:trPr>
        <w:tc>
          <w:tcPr>
            <w:tcW w:w="1485" w:type="pct"/>
            <w:vMerge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pct"/>
            <w:vMerge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1276D" w:rsidRPr="0091276D" w:rsidTr="007C16B5">
        <w:trPr>
          <w:trHeight w:val="58"/>
        </w:trPr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1276D" w:rsidRPr="0091276D" w:rsidTr="007C16B5">
        <w:trPr>
          <w:trHeight w:val="31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15 200,9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18 221,9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91276D" w:rsidRPr="0091276D" w:rsidTr="007C16B5">
        <w:trPr>
          <w:trHeight w:val="288"/>
        </w:trPr>
        <w:tc>
          <w:tcPr>
            <w:tcW w:w="14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91276D" w:rsidRPr="0091276D" w:rsidTr="004E774A">
        <w:trPr>
          <w:trHeight w:val="387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1 429,3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306,8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91276D" w:rsidRPr="0091276D" w:rsidTr="004E774A">
        <w:trPr>
          <w:trHeight w:val="279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2 485,1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7 550,1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5 065,0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203,8</w:t>
            </w:r>
          </w:p>
        </w:tc>
      </w:tr>
      <w:tr w:rsidR="0091276D" w:rsidRPr="0091276D" w:rsidTr="004E774A">
        <w:trPr>
          <w:trHeight w:val="411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7 478,2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17 689,1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10 210,9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136,5</w:t>
            </w:r>
          </w:p>
        </w:tc>
      </w:tr>
      <w:tr w:rsidR="0091276D" w:rsidRPr="0091276D" w:rsidTr="004E774A">
        <w:trPr>
          <w:trHeight w:val="276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1276D" w:rsidRPr="0091276D" w:rsidTr="004E774A">
        <w:trPr>
          <w:trHeight w:val="279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1276D" w:rsidRPr="0091276D" w:rsidTr="004E774A">
        <w:trPr>
          <w:trHeight w:val="272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11 734,7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14 270,4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2 535,7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1276D" w:rsidRPr="0091276D" w:rsidTr="004E774A">
        <w:trPr>
          <w:trHeight w:val="300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1276D" w:rsidRPr="0091276D" w:rsidTr="004E774A">
        <w:trPr>
          <w:trHeight w:val="300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1276D" w:rsidRPr="0091276D" w:rsidTr="004E774A">
        <w:trPr>
          <w:trHeight w:val="228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1 544,6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1 680,1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91276D" w:rsidRPr="0091276D" w:rsidTr="004E774A">
        <w:trPr>
          <w:trHeight w:val="300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91276D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40 179,7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61 552,1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21 372,4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1276D" w:rsidRPr="0091276D" w:rsidRDefault="0091276D" w:rsidP="009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53,2</w:t>
            </w:r>
          </w:p>
        </w:tc>
      </w:tr>
    </w:tbl>
    <w:p w:rsidR="0090504F" w:rsidRPr="0091276D" w:rsidRDefault="0090504F" w:rsidP="0091197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6014B" w:rsidRPr="00C16783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1C0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(первоначальный бюджет </w:t>
      </w:r>
      <w:r w:rsidR="00E12491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</w:t>
      </w:r>
      <w:r w:rsidR="00E12491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="00E12491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E12491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E12491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031C0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31C0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31C0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с последующим оформлением решений Совета депутатов сельского поселения: от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17.01.2022</w:t>
      </w:r>
      <w:r w:rsidR="00031C0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031C0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213, от 01.03.2022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221,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231, от 04.07.2022</w:t>
      </w:r>
      <w:proofErr w:type="gramEnd"/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от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B76B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76B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B76B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02.11.2022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76B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F6014B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 w:rsidR="006B76B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="00AF15C6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</w:t>
      </w:r>
      <w:r w:rsidR="006B76B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15C6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724F0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6BA" w:rsidRPr="00C16783" w:rsidRDefault="00262D35" w:rsidP="00211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</w:t>
      </w:r>
      <w:r w:rsidR="00AF15C6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что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AF15C6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от 23.12.2021 № 208 «О бюджете сельского поселения Шапша на очередной 2022 год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2023 и 2024 годов» предусмотрены дополнительные основания, по которым на основании </w:t>
      </w:r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 Бюджетного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в 2022 году в сводную бюджетную роспись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внесены изменения в соответствии с решениями</w:t>
      </w:r>
      <w:proofErr w:type="gramEnd"/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органа администрации сельского поселения Шапша без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BA" w:rsidRPr="0021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решение</w:t>
      </w:r>
      <w:r w:rsidR="002116BA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бюджете.</w:t>
      </w:r>
    </w:p>
    <w:p w:rsidR="00C16783" w:rsidRPr="00C16783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 на 202</w:t>
      </w:r>
      <w:r w:rsidR="00C1678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уменьшения расходов по разделам не проводилось.</w:t>
      </w:r>
    </w:p>
    <w:p w:rsidR="00262D35" w:rsidRPr="006978D7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разделам</w:t>
      </w:r>
      <w:r w:rsidRPr="006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2D35" w:rsidRPr="00C16783" w:rsidRDefault="004F7DC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</w:t>
      </w:r>
      <w:r w:rsidR="00DE32C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678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5 065,0</w:t>
      </w:r>
      <w:r w:rsidR="00041BC0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C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D557B4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8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203,8</w:t>
      </w:r>
      <w:r w:rsidR="00D557B4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</w:t>
      </w:r>
      <w:r w:rsidR="00DE32C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C16783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7B4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CE" w:rsidRPr="00C16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раза);</w:t>
      </w:r>
    </w:p>
    <w:p w:rsidR="004F7DC2" w:rsidRPr="004F7DC2" w:rsidRDefault="004F7DC2" w:rsidP="004F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10 210,9 тыс. рублей или                в 136,5 %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783" w:rsidRPr="001155F0" w:rsidRDefault="00262D35" w:rsidP="00C1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CE7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557B4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 объем расходов по</w:t>
      </w:r>
      <w:r w:rsidR="00D557B4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4F7DC2" w:rsidRPr="001155F0" w:rsidRDefault="004F7DC2" w:rsidP="00C1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2 535,7 тыс. рулей или 21,6 %;</w:t>
      </w:r>
    </w:p>
    <w:p w:rsidR="004F7DC2" w:rsidRPr="001155F0" w:rsidRDefault="004F7DC2" w:rsidP="004F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на 306,8 тыс. рублей или 21,5 %;</w:t>
      </w:r>
    </w:p>
    <w:p w:rsidR="004F7DC2" w:rsidRPr="001155F0" w:rsidRDefault="004F7DC2" w:rsidP="004F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3 021,0 тыс. рублей или 19,9 %;</w:t>
      </w:r>
    </w:p>
    <w:p w:rsidR="00C16783" w:rsidRPr="001155F0" w:rsidRDefault="00C16783" w:rsidP="00C1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135,5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62D35" w:rsidRPr="001155F0" w:rsidRDefault="00F9479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на 14,8 тыс. рублей или 6,0 %.   </w:t>
      </w:r>
      <w:r w:rsidR="00262D35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5EC3" w:rsidRPr="001155F0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расходы                              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 </w:t>
      </w:r>
      <w:r w:rsidR="001B420C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утверждены расходы                           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размере  </w:t>
      </w:r>
      <w:r w:rsidR="001B420C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60,0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«Здравоохранение» </w:t>
      </w:r>
      <w:r w:rsidR="001B420C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утверждены расходы в объеме 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="001B420C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D5820" w:rsidRPr="001155F0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разделу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утвержденные расходы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 корректировались</w:t>
      </w:r>
      <w:r w:rsidR="00A75EC3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политика»</w:t>
      </w:r>
      <w:r w:rsidR="00770CBB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79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D35" w:rsidRPr="001155F0" w:rsidRDefault="007D582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«Охрана окружающей среды» расходы не планировались и в течение отчетного периода отсутствовали.</w:t>
      </w:r>
    </w:p>
    <w:p w:rsidR="00262D35" w:rsidRPr="001155F0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031C05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5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 </w:t>
      </w:r>
      <w:r w:rsidR="00C4735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</w:t>
      </w:r>
    </w:p>
    <w:p w:rsidR="00262D35" w:rsidRPr="004E774A" w:rsidRDefault="00262D35" w:rsidP="0091197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E77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p w:rsidR="001B420C" w:rsidRPr="004E774A" w:rsidRDefault="001B420C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774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70"/>
        <w:gridCol w:w="1987"/>
        <w:gridCol w:w="1999"/>
        <w:gridCol w:w="1649"/>
        <w:gridCol w:w="1167"/>
      </w:tblGrid>
      <w:tr w:rsidR="00E95291" w:rsidRPr="004E774A" w:rsidTr="004E774A">
        <w:trPr>
          <w:trHeight w:val="49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2022</w:t>
            </w:r>
            <w:r w:rsidR="001B420C"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год, тыс. рублей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2022</w:t>
            </w:r>
            <w:r w:rsidR="001B420C"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4653DD"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(+/-), </w:t>
            </w:r>
            <w:proofErr w:type="gramEnd"/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95291" w:rsidRPr="004E774A" w:rsidTr="004E774A">
        <w:trPr>
          <w:trHeight w:val="4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4E774A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E774A" w:rsidRPr="004E774A" w:rsidTr="004E774A">
        <w:trPr>
          <w:trHeight w:val="11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18 221,9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18 221,9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4E774A">
        <w:trPr>
          <w:trHeight w:val="15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4E774A">
        <w:trPr>
          <w:trHeight w:val="38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4E774A">
        <w:trPr>
          <w:trHeight w:val="25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7 550,1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7 503,1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4E774A" w:rsidRPr="004E774A" w:rsidTr="004E774A">
        <w:trPr>
          <w:trHeight w:val="10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17 689,1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16 783,6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-905,5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4E774A" w:rsidRPr="004E774A" w:rsidTr="004E774A">
        <w:trPr>
          <w:trHeight w:val="17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774A" w:rsidRPr="004E774A" w:rsidTr="004E774A">
        <w:trPr>
          <w:trHeight w:val="1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7159CE">
        <w:trPr>
          <w:trHeight w:val="24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14 270,4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14 270,4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7159CE">
        <w:trPr>
          <w:trHeight w:val="24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7159CE">
        <w:trPr>
          <w:trHeight w:val="13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4E774A">
        <w:trPr>
          <w:trHeight w:val="22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E774A" w:rsidRPr="004E774A" w:rsidTr="004E774A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61 552,1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60 599,6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-952,5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A" w:rsidRPr="004E774A" w:rsidRDefault="004E774A" w:rsidP="004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</w:tbl>
    <w:p w:rsidR="004653DD" w:rsidRPr="007E5C21" w:rsidRDefault="004653DD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2D35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23.12.2021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 «О бюджете сельского поселения Шапша на очередной 2022 год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 и 2024 годов» (с изменениями от  14.12.2022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269)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1 552,1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Исполнени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расходной части бюджета за 2022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60 599,6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55F0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653DD"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показателей.</w:t>
      </w:r>
    </w:p>
    <w:p w:rsidR="004009FE" w:rsidRPr="004009FE" w:rsidRDefault="001155F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исполнены расходы по следующим разделам:</w:t>
      </w:r>
      <w:r w:rsidR="004009FE" w:rsidRPr="00400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16D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16D06" w:rsidRPr="004009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94,9 %, отклонение составило 905,5 тыс. рублей или 5,1%;</w:t>
      </w:r>
    </w:p>
    <w:p w:rsidR="00716D06" w:rsidRPr="004009FE" w:rsidRDefault="00716D06" w:rsidP="00716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99,4 %, отклонение составило 47,0 тыс. рублей или 0,6%.</w:t>
      </w:r>
    </w:p>
    <w:p w:rsidR="00262D35" w:rsidRPr="00716D06" w:rsidRDefault="00262D3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4653DD" w:rsidRP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D06" w:rsidRP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16D06" w:rsidRP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262D35" w:rsidRPr="00716D06" w:rsidRDefault="00262D35" w:rsidP="0091197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D06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4653DD" w:rsidRPr="00716D06" w:rsidRDefault="004653DD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D0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059"/>
        <w:gridCol w:w="1236"/>
        <w:gridCol w:w="992"/>
        <w:gridCol w:w="850"/>
        <w:gridCol w:w="1134"/>
        <w:gridCol w:w="993"/>
        <w:gridCol w:w="1275"/>
        <w:gridCol w:w="1240"/>
      </w:tblGrid>
      <w:tr w:rsidR="00DE682A" w:rsidRPr="001102CA" w:rsidTr="001102CA">
        <w:trPr>
          <w:gridAfter w:val="1"/>
          <w:wAfter w:w="1240" w:type="dxa"/>
          <w:trHeight w:val="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  <w:r w:rsidR="00DE682A"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  <w:r w:rsidR="00DE682A"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E682A" w:rsidRPr="001102CA" w:rsidTr="001102CA">
        <w:trPr>
          <w:gridAfter w:val="1"/>
          <w:wAfter w:w="1240" w:type="dxa"/>
          <w:trHeight w:val="2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</w:t>
            </w:r>
            <w:r w:rsid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2021</w:t>
            </w:r>
            <w:r w:rsidR="00DE682A"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2022</w:t>
            </w:r>
            <w:r w:rsidR="00DE682A"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DE682A" w:rsidRPr="001102CA" w:rsidTr="001102CA">
        <w:trPr>
          <w:gridAfter w:val="1"/>
          <w:wAfter w:w="1240" w:type="dxa"/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A" w:rsidRPr="001102CA" w:rsidRDefault="00DE682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102CA" w:rsidRPr="001102CA" w:rsidTr="001102CA">
        <w:trPr>
          <w:gridAfter w:val="1"/>
          <w:wAfter w:w="1240" w:type="dxa"/>
          <w:trHeight w:val="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1102CA" w:rsidRPr="001102CA" w:rsidTr="001102CA">
        <w:trPr>
          <w:gridAfter w:val="1"/>
          <w:wAfter w:w="1240" w:type="dxa"/>
          <w:trHeight w:val="2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1102CA" w:rsidRPr="001102CA" w:rsidTr="001102CA">
        <w:trPr>
          <w:gridAfter w:val="1"/>
          <w:wAfter w:w="1240" w:type="dxa"/>
          <w:trHeight w:val="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1102CA" w:rsidRPr="001102CA" w:rsidTr="001102CA">
        <w:trPr>
          <w:gridAfter w:val="1"/>
          <w:wAfter w:w="1240" w:type="dxa"/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1102CA" w:rsidRPr="001102CA" w:rsidTr="001102CA">
        <w:trPr>
          <w:gridAfter w:val="1"/>
          <w:wAfter w:w="1240" w:type="dxa"/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</w:tr>
      <w:tr w:rsidR="001102CA" w:rsidRPr="001102CA" w:rsidTr="001102CA">
        <w:trPr>
          <w:gridAfter w:val="1"/>
          <w:wAfter w:w="1240" w:type="dxa"/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2CA" w:rsidRPr="001102CA" w:rsidTr="001102CA">
        <w:trPr>
          <w:gridAfter w:val="1"/>
          <w:wAfter w:w="1240" w:type="dxa"/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102CA" w:rsidRPr="001102CA" w:rsidTr="001102CA">
        <w:trPr>
          <w:gridAfter w:val="1"/>
          <w:wAfter w:w="1240" w:type="dxa"/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1102CA" w:rsidRPr="001102CA" w:rsidTr="001102CA">
        <w:trPr>
          <w:gridAfter w:val="1"/>
          <w:wAfter w:w="1240" w:type="dxa"/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2CA" w:rsidRPr="001102CA" w:rsidTr="001102CA">
        <w:trPr>
          <w:gridAfter w:val="1"/>
          <w:wAfter w:w="1240" w:type="dxa"/>
          <w:trHeight w:val="25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102CA" w:rsidRPr="001102CA" w:rsidTr="001102CA">
        <w:trPr>
          <w:gridAfter w:val="1"/>
          <w:wAfter w:w="1240" w:type="dxa"/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1102CA" w:rsidRPr="007E5C21" w:rsidTr="001102CA">
        <w:trPr>
          <w:trHeight w:val="233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56 600,4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60 599,6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CA" w:rsidRPr="001102CA" w:rsidRDefault="001102CA" w:rsidP="001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2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vAlign w:val="center"/>
          </w:tcPr>
          <w:p w:rsidR="001102CA" w:rsidRDefault="001102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E682A" w:rsidRPr="007E5C21" w:rsidRDefault="00DE682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2D35" w:rsidRPr="00F16219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907ABA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на </w:t>
      </w:r>
      <w:r w:rsidR="00DE682A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 999,2</w:t>
      </w:r>
      <w:r w:rsidR="00DE682A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BA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по расходам на 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7,6%</w:t>
      </w:r>
      <w:r w:rsidR="00D4780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1621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98,5</w:t>
      </w:r>
      <w:r w:rsidR="00D47809"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162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6B0" w:rsidRPr="007E5C21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расходов бюджета поселения в 202</w:t>
      </w:r>
      <w:r w:rsidR="00F1621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21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– 30,1 % или 18 221,9 тыс. рублей (в 20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621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3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F1621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17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 586,8</w:t>
      </w:r>
      <w:r w:rsidR="00F1621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27,7 % или 16 783,6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31,7 % или 17 970,1 тыс. рублей</w:t>
      </w:r>
      <w:r w:rsidR="00D47809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02FFE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4 270,4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22,2 % или</w:t>
      </w:r>
      <w:proofErr w:type="gramEnd"/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0785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12 549,4 тыс. рублей</w:t>
      </w:r>
      <w:r w:rsidR="001176B0" w:rsidRPr="003A07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176B0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объеме </w:t>
      </w:r>
      <w:r w:rsidR="00197B9A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18 221,9 </w:t>
      </w:r>
      <w:r w:rsidR="004F1E69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97B9A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1176B0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 (в 20</w:t>
      </w:r>
      <w:r w:rsidR="00197B9A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76B0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197B9A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17 586,8</w:t>
      </w:r>
      <w:r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F1E69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7B9A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4F1E69"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574D9" w:rsidRPr="00DE4CAD" w:rsidRDefault="00E574D9" w:rsidP="00E574D9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органов местного самоуправления  сельского поселения Шапша на 2022 год составили 18 221,9 тыс. рублей, </w:t>
      </w:r>
      <w:r w:rsidR="00A26C29"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26C29"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</w:t>
      </w:r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Правительства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2022 год» в размере 20 994,2 тыс. рублей</w:t>
      </w:r>
      <w:r w:rsidR="00A26C29"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49CE" w:rsidRPr="00DE4CAD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</w:t>
      </w:r>
      <w:r w:rsidR="00A26C29"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>18 221,9</w:t>
      </w:r>
      <w:r w:rsidR="001B49CE"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произведены</w:t>
      </w:r>
      <w:r w:rsidR="001B49CE"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F95C92" w:rsidRPr="002B24BE" w:rsidRDefault="0075689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24BE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F95C92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денежное содержание главы муниципального образования</w:t>
      </w:r>
      <w:r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C86FAD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4BE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C86FAD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2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поощрительная выплата главе муниципального образования за достижение наилучших </w:t>
      </w:r>
      <w:proofErr w:type="gramStart"/>
      <w:r w:rsidR="00F95C92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="0000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0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45,0 тыс. рублей  - поощрение з</w:t>
      </w:r>
      <w:r w:rsid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достижение наилучших значений</w:t>
      </w:r>
      <w:r w:rsidR="00F95C92" w:rsidRPr="002B2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243" w:rsidRPr="00630A36" w:rsidRDefault="001B49C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4DD7"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 621,8</w:t>
      </w:r>
      <w:r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</w:t>
      </w:r>
      <w:r w:rsidR="00262D35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местной администрации,</w:t>
      </w:r>
      <w:r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D35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8A4DD7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2 063,9</w:t>
      </w:r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муниципальным служащим</w:t>
      </w:r>
      <w:r w:rsidR="00A241F1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8A4DD7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F1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поощрительная выплата                                за достижение наилучших </w:t>
      </w:r>
      <w:proofErr w:type="gramStart"/>
      <w:r w:rsidR="00A241F1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показателей деятельности органов </w:t>
      </w:r>
      <w:r w:rsidR="00A241F1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</w:t>
      </w:r>
      <w:proofErr w:type="gramEnd"/>
      <w:r w:rsidR="00A241F1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A4DD7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9 820,1</w:t>
      </w:r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персоналу,</w:t>
      </w:r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отнесенному к муниципальным служащим</w:t>
      </w:r>
      <w:r w:rsidR="008A4DD7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                   161</w:t>
      </w:r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поощрительная выплата за достижение наилучших </w:t>
      </w:r>
      <w:proofErr w:type="gramStart"/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="00F50786" w:rsidRPr="00C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3 050,5</w:t>
      </w:r>
      <w:r w:rsidR="00F50786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50786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прочие мероприятия органов</w:t>
      </w:r>
      <w:r w:rsidR="003C5B51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CC243F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195,2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услуги связи, 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коммунальные услуги, 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151,9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работы </w:t>
      </w:r>
      <w:r w:rsidR="00C4735D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  по содержанию имущества, 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80,1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3C5B51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– прочие работы</w:t>
      </w:r>
      <w:r w:rsidR="00C4735D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5B51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услуги,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958,8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поступление нефинансовых активов</w:t>
      </w:r>
      <w:r w:rsidR="003C5B51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7D4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242,2 тыс. рублей – закупка энергетических ресурсов, 100,0 тыс. рублей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4243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исполнение судебных актов, 560,7</w:t>
      </w:r>
      <w:r w:rsidR="00847957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</w:t>
      </w:r>
      <w:proofErr w:type="gramEnd"/>
      <w:r w:rsidR="00262D35" w:rsidRPr="00E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 и иных платежей</w:t>
      </w:r>
      <w:r w:rsid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C243F" w:rsidRPr="007E5C2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</w:t>
      </w:r>
    </w:p>
    <w:p w:rsidR="00262D35" w:rsidRPr="00630A36" w:rsidRDefault="003B6D01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="00727FB1"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межбюджетные трансферты, переданные                                    в </w:t>
      </w:r>
      <w:r w:rsidR="00727FB1" w:rsidRPr="00630A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района.</w:t>
      </w:r>
    </w:p>
    <w:p w:rsidR="00FC0C16" w:rsidRPr="00E51AC1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объеме 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261,7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245,4 тыс. рублей или 100,0 %</w:t>
      </w:r>
      <w:proofErr w:type="gramStart"/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16" w:rsidRPr="00E51AC1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03 00 «Национальная безопасность и правоохранительная деятельность»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A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1 736,1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                              или 100,0 % (в 20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464,1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100,0 %)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35" w:rsidRPr="001E5DE4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</w:t>
      </w:r>
      <w:r w:rsidR="00C36E7A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7 503,1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A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 или 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0C16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AC1" w:rsidRPr="00E5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680,5 тыс. рублей </w:t>
      </w:r>
      <w:r w:rsidR="00E51AC1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98</w:t>
      </w:r>
      <w:r w:rsidR="00FC0C16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,0 %).</w:t>
      </w:r>
    </w:p>
    <w:p w:rsidR="00262D35" w:rsidRPr="001E5DE4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объеме </w:t>
      </w:r>
      <w:r w:rsidR="00FC0C16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6 783,6</w:t>
      </w:r>
      <w:r w:rsidR="00FC0C16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="009051A3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0C16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17 970,1 </w:t>
      </w:r>
      <w:r w:rsidR="00FC0C16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7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FC0C16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2D35" w:rsidRPr="001E5DE4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не запланированы и не проводились </w:t>
      </w:r>
      <w:r w:rsidR="00C36E7A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6E7A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E5DE4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A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485DEF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99,9</w:t>
      </w:r>
      <w:r w:rsidR="00485DEF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6D7D" w:rsidRPr="006E6639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 w:rsidR="00485DEF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B33E0B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E5DE4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или 100,0% (в 2021 году бю</w:t>
      </w:r>
      <w:r w:rsidR="00546D7D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джетные </w:t>
      </w:r>
      <w:r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E5DE4" w:rsidRPr="001E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1E5DE4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проводились)</w:t>
      </w:r>
      <w:r w:rsidR="00485DEF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424" w:rsidRPr="006E6639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4 270,4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12 549,4 тыс. рублей или 99,9 %</w:t>
      </w:r>
      <w:proofErr w:type="gramStart"/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424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B84424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D7D" w:rsidRPr="006E6639" w:rsidRDefault="00B8442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2FA4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09 00 «Здравоохранение» расходы исполнены </w:t>
      </w:r>
      <w:r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FA4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100,0 % (в 2021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63,3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или </w:t>
      </w:r>
      <w:r w:rsidR="006E6639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546D7D" w:rsidRPr="006E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46D7D" w:rsidRPr="00870E9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 00 «Социальная политика» расходы исполнены                 в сумме</w:t>
      </w:r>
      <w:r w:rsidR="00042FA4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B84424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100,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0 % (в 20</w:t>
      </w:r>
      <w:r w:rsidR="006E6639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46D7D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                                              </w:t>
      </w:r>
      <w:r w:rsidR="00042FA4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60,0</w:t>
      </w:r>
      <w:r w:rsidR="00B84424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546D7D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D7D" w:rsidRPr="00870E9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в сумме </w:t>
      </w:r>
      <w:r w:rsidR="006E6639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1 680,1 </w:t>
      </w:r>
      <w:r w:rsidR="00B84424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0 % (в 20</w:t>
      </w:r>
      <w:r w:rsidR="00870E9B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46D7D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46D7D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6639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979,6 </w:t>
      </w:r>
      <w:r w:rsidR="00546D7D"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</w:t>
      </w:r>
      <w:r w:rsidRP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BE7" w:rsidRPr="0065543F" w:rsidRDefault="00982BE7" w:rsidP="00982B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3F">
        <w:rPr>
          <w:rFonts w:ascii="Times New Roman" w:hAnsi="Times New Roman" w:cs="Times New Roman"/>
          <w:sz w:val="28"/>
          <w:szCs w:val="28"/>
        </w:rPr>
        <w:lastRenderedPageBreak/>
        <w:t xml:space="preserve"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главы и муниципальных служащих сельского поселения                </w:t>
      </w:r>
      <w:r w:rsidRPr="00EB02A2">
        <w:rPr>
          <w:rFonts w:ascii="Times New Roman" w:hAnsi="Times New Roman" w:cs="Times New Roman"/>
          <w:i/>
          <w:sz w:val="28"/>
          <w:szCs w:val="28"/>
        </w:rPr>
        <w:t>не соблюден</w:t>
      </w:r>
      <w:r w:rsidRPr="006554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82BE7" w:rsidRPr="00F24F0C" w:rsidRDefault="00982BE7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0C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F24F0C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F24F0C">
        <w:rPr>
          <w:rFonts w:ascii="Times New Roman" w:hAnsi="Times New Roman" w:cs="Times New Roman"/>
          <w:sz w:val="28"/>
          <w:szCs w:val="28"/>
        </w:rPr>
        <w:t xml:space="preserve">                         за 2022 год</w:t>
      </w:r>
      <w:r w:rsidR="007159CE" w:rsidRPr="00F24F0C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7B4921" w:rsidRPr="00F24F0C">
        <w:rPr>
          <w:rFonts w:ascii="Times New Roman" w:hAnsi="Times New Roman" w:cs="Times New Roman"/>
          <w:sz w:val="28"/>
          <w:szCs w:val="28"/>
        </w:rPr>
        <w:t>начислений на выплаты по оплате труда,</w:t>
      </w:r>
      <w:r w:rsidRPr="00F24F0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72D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4F0C">
        <w:rPr>
          <w:rFonts w:ascii="Times New Roman" w:hAnsi="Times New Roman" w:cs="Times New Roman"/>
          <w:sz w:val="28"/>
          <w:szCs w:val="28"/>
        </w:rPr>
        <w:t>– 2</w:t>
      </w:r>
      <w:r w:rsidR="0077714E" w:rsidRPr="00F24F0C">
        <w:rPr>
          <w:rFonts w:ascii="Times New Roman" w:hAnsi="Times New Roman" w:cs="Times New Roman"/>
          <w:sz w:val="28"/>
          <w:szCs w:val="28"/>
        </w:rPr>
        <w:t> 513,3</w:t>
      </w:r>
      <w:r w:rsidRPr="00F24F0C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</w:t>
      </w:r>
      <w:r w:rsidR="0077714E" w:rsidRPr="00F24F0C">
        <w:rPr>
          <w:rFonts w:ascii="Times New Roman" w:hAnsi="Times New Roman" w:cs="Times New Roman"/>
          <w:sz w:val="28"/>
          <w:szCs w:val="28"/>
        </w:rPr>
        <w:t xml:space="preserve"> 1925,6</w:t>
      </w:r>
      <w:r w:rsidRPr="00F24F0C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77714E" w:rsidRPr="00F24F0C">
        <w:rPr>
          <w:rFonts w:ascii="Times New Roman" w:hAnsi="Times New Roman" w:cs="Times New Roman"/>
          <w:sz w:val="28"/>
          <w:szCs w:val="28"/>
        </w:rPr>
        <w:t>587,7</w:t>
      </w:r>
      <w:r w:rsidRPr="00F24F0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82BE7" w:rsidRPr="00F24F0C" w:rsidRDefault="00982BE7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0C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отражены                                       в Пояснительной записке, в том числе за счет: выплаты компенсации </w:t>
      </w:r>
      <w:r w:rsidR="00872D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4F0C">
        <w:rPr>
          <w:rFonts w:ascii="Times New Roman" w:hAnsi="Times New Roman" w:cs="Times New Roman"/>
          <w:sz w:val="28"/>
          <w:szCs w:val="28"/>
        </w:rPr>
        <w:t xml:space="preserve">за неиспользованный </w:t>
      </w:r>
      <w:r w:rsidR="0077714E" w:rsidRPr="00F24F0C">
        <w:rPr>
          <w:rFonts w:ascii="Times New Roman" w:hAnsi="Times New Roman" w:cs="Times New Roman"/>
          <w:sz w:val="28"/>
          <w:szCs w:val="28"/>
        </w:rPr>
        <w:t xml:space="preserve">отпуск; </w:t>
      </w:r>
      <w:r w:rsidR="007B0616" w:rsidRPr="00F24F0C">
        <w:rPr>
          <w:rFonts w:ascii="Times New Roman" w:hAnsi="Times New Roman" w:cs="Times New Roman"/>
          <w:sz w:val="28"/>
          <w:szCs w:val="28"/>
        </w:rPr>
        <w:t>оплата за работу в выходные и праздничные дни в двойном размере</w:t>
      </w:r>
      <w:r w:rsidR="0077714E" w:rsidRPr="00F24F0C">
        <w:rPr>
          <w:rFonts w:ascii="Times New Roman" w:hAnsi="Times New Roman" w:cs="Times New Roman"/>
          <w:sz w:val="28"/>
          <w:szCs w:val="28"/>
        </w:rPr>
        <w:t>.</w:t>
      </w:r>
    </w:p>
    <w:p w:rsidR="00982BE7" w:rsidRPr="00F24F0C" w:rsidRDefault="00982BE7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0C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2022 год</w:t>
      </w:r>
      <w:r w:rsidR="007B4921" w:rsidRPr="00F24F0C">
        <w:rPr>
          <w:rFonts w:ascii="Times New Roman" w:hAnsi="Times New Roman" w:cs="Times New Roman"/>
          <w:sz w:val="28"/>
          <w:szCs w:val="28"/>
        </w:rPr>
        <w:t>, с учетом начислений на выплаты по оплате труда,</w:t>
      </w:r>
      <w:r w:rsidRPr="00F24F0C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77714E" w:rsidRPr="00F24F0C">
        <w:rPr>
          <w:rFonts w:ascii="Times New Roman" w:hAnsi="Times New Roman" w:cs="Times New Roman"/>
          <w:sz w:val="28"/>
          <w:szCs w:val="28"/>
        </w:rPr>
        <w:t xml:space="preserve">1 894,9 </w:t>
      </w:r>
      <w:r w:rsidRPr="00F24F0C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от 23.08.2019 № 278-п – </w:t>
      </w:r>
      <w:r w:rsidR="0077714E" w:rsidRPr="00F24F0C">
        <w:rPr>
          <w:rFonts w:ascii="Times New Roman" w:hAnsi="Times New Roman" w:cs="Times New Roman"/>
          <w:sz w:val="28"/>
          <w:szCs w:val="28"/>
        </w:rPr>
        <w:t>1 679,3</w:t>
      </w:r>
      <w:r w:rsidRPr="00F24F0C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77714E" w:rsidRPr="00F24F0C">
        <w:rPr>
          <w:rFonts w:ascii="Times New Roman" w:hAnsi="Times New Roman" w:cs="Times New Roman"/>
          <w:sz w:val="28"/>
          <w:szCs w:val="28"/>
        </w:rPr>
        <w:t>215,7</w:t>
      </w:r>
      <w:r w:rsidRPr="00F24F0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82BE7" w:rsidRPr="00F24F0C" w:rsidRDefault="00F24F0C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0C">
        <w:rPr>
          <w:rFonts w:ascii="Times New Roman" w:hAnsi="Times New Roman" w:cs="Times New Roman"/>
          <w:sz w:val="28"/>
          <w:szCs w:val="28"/>
        </w:rPr>
        <w:t>Превышение сложилось</w:t>
      </w:r>
      <w:r w:rsidR="00872DBD">
        <w:rPr>
          <w:rFonts w:ascii="Times New Roman" w:hAnsi="Times New Roman" w:cs="Times New Roman"/>
          <w:sz w:val="28"/>
          <w:szCs w:val="28"/>
        </w:rPr>
        <w:t xml:space="preserve"> </w:t>
      </w:r>
      <w:r w:rsidRPr="00F24F0C">
        <w:rPr>
          <w:rFonts w:ascii="Times New Roman" w:hAnsi="Times New Roman" w:cs="Times New Roman"/>
          <w:sz w:val="28"/>
          <w:szCs w:val="28"/>
        </w:rPr>
        <w:t xml:space="preserve">в связи с выплатой компенсации </w:t>
      </w:r>
      <w:r w:rsidR="00872D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4F0C">
        <w:rPr>
          <w:rFonts w:ascii="Times New Roman" w:hAnsi="Times New Roman" w:cs="Times New Roman"/>
          <w:sz w:val="28"/>
          <w:szCs w:val="28"/>
        </w:rPr>
        <w:t xml:space="preserve">за неиспользованный отпуск и оплатой за работу в выходные </w:t>
      </w:r>
      <w:r w:rsidR="00872D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4F0C">
        <w:rPr>
          <w:rFonts w:ascii="Times New Roman" w:hAnsi="Times New Roman" w:cs="Times New Roman"/>
          <w:sz w:val="28"/>
          <w:szCs w:val="28"/>
        </w:rPr>
        <w:t>и праздничные дни в двойном размере.</w:t>
      </w:r>
    </w:p>
    <w:p w:rsidR="007B29C5" w:rsidRPr="007E5C21" w:rsidRDefault="007B29C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6745" w:rsidRPr="00EB02A2" w:rsidRDefault="00EA6745" w:rsidP="00EA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2A2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EA6745" w:rsidRPr="00EB02A2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A2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EA6745" w:rsidRPr="00EB02A2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02A2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EA6745" w:rsidRPr="00EB02A2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2A2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EA6745" w:rsidRPr="00EB02A2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A2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2023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EA6745" w:rsidRPr="00EB02A2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A2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EA6745" w:rsidRPr="00160E66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A2">
        <w:rPr>
          <w:rFonts w:ascii="Times New Roman" w:hAnsi="Times New Roman" w:cs="Times New Roman"/>
          <w:sz w:val="28"/>
          <w:szCs w:val="28"/>
        </w:rPr>
        <w:lastRenderedPageBreak/>
        <w:t xml:space="preserve">Баланс исполнения бюджета сформирован по состоянию                       на 01 января 2023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</w:t>
      </w:r>
      <w:r w:rsidRPr="00160E66">
        <w:rPr>
          <w:rFonts w:ascii="Times New Roman" w:hAnsi="Times New Roman" w:cs="Times New Roman"/>
          <w:sz w:val="28"/>
          <w:szCs w:val="28"/>
        </w:rPr>
        <w:t>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EA6745" w:rsidRPr="00160E66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66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9" w:history="1">
        <w:r w:rsidRPr="00160E66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160E66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A42ED9" w:rsidRPr="00160E66">
        <w:rPr>
          <w:rFonts w:ascii="Times New Roman" w:hAnsi="Times New Roman" w:cs="Times New Roman"/>
          <w:sz w:val="28"/>
          <w:szCs w:val="28"/>
        </w:rPr>
        <w:t>48 679 046,55</w:t>
      </w:r>
      <w:r w:rsidRPr="00160E66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A42ED9" w:rsidRPr="00160E66">
        <w:rPr>
          <w:rFonts w:ascii="Times New Roman" w:hAnsi="Times New Roman" w:cs="Times New Roman"/>
          <w:sz w:val="28"/>
          <w:szCs w:val="28"/>
        </w:rPr>
        <w:t>41 823 275,7</w:t>
      </w:r>
      <w:r w:rsidRPr="00160E66">
        <w:rPr>
          <w:rFonts w:ascii="Times New Roman" w:hAnsi="Times New Roman" w:cs="Times New Roman"/>
          <w:sz w:val="28"/>
          <w:szCs w:val="28"/>
        </w:rPr>
        <w:t xml:space="preserve"> рублей). Амортизация основных средств составила на конец года </w:t>
      </w:r>
      <w:r w:rsidR="00A42ED9" w:rsidRPr="00160E66">
        <w:rPr>
          <w:rFonts w:ascii="Times New Roman" w:hAnsi="Times New Roman" w:cs="Times New Roman"/>
          <w:sz w:val="28"/>
          <w:szCs w:val="28"/>
        </w:rPr>
        <w:t>17 913 194,29</w:t>
      </w:r>
      <w:r w:rsidRPr="00160E66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A42ED9" w:rsidRPr="00160E66">
        <w:rPr>
          <w:rFonts w:ascii="Times New Roman" w:hAnsi="Times New Roman" w:cs="Times New Roman"/>
          <w:sz w:val="28"/>
          <w:szCs w:val="28"/>
        </w:rPr>
        <w:t>16 146 189,88</w:t>
      </w:r>
      <w:r w:rsidRPr="00160E66">
        <w:rPr>
          <w:rFonts w:ascii="Times New Roman" w:hAnsi="Times New Roman" w:cs="Times New Roman"/>
          <w:sz w:val="28"/>
          <w:szCs w:val="28"/>
        </w:rPr>
        <w:t xml:space="preserve"> рубль). В 2022 году произошло у</w:t>
      </w:r>
      <w:r w:rsidR="00160E66" w:rsidRPr="00160E66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160E66">
        <w:rPr>
          <w:rFonts w:ascii="Times New Roman" w:hAnsi="Times New Roman" w:cs="Times New Roman"/>
          <w:sz w:val="28"/>
          <w:szCs w:val="28"/>
        </w:rPr>
        <w:t>объемов нефинансовых активов в части остаточной стоимости основных средств</w:t>
      </w:r>
      <w:r w:rsidR="00872D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0E66">
        <w:rPr>
          <w:rFonts w:ascii="Times New Roman" w:hAnsi="Times New Roman" w:cs="Times New Roman"/>
          <w:sz w:val="28"/>
          <w:szCs w:val="28"/>
        </w:rPr>
        <w:t xml:space="preserve"> на </w:t>
      </w:r>
      <w:r w:rsidR="00160E66" w:rsidRPr="00160E66">
        <w:rPr>
          <w:rFonts w:ascii="Times New Roman" w:hAnsi="Times New Roman" w:cs="Times New Roman"/>
          <w:sz w:val="28"/>
          <w:szCs w:val="28"/>
        </w:rPr>
        <w:t>6 855 770,85</w:t>
      </w:r>
      <w:r w:rsidRPr="00160E6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60E66" w:rsidRPr="00160E66">
        <w:rPr>
          <w:rFonts w:ascii="Times New Roman" w:hAnsi="Times New Roman" w:cs="Times New Roman"/>
          <w:sz w:val="28"/>
          <w:szCs w:val="28"/>
        </w:rPr>
        <w:t>16,4</w:t>
      </w:r>
      <w:r w:rsidRPr="00160E6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A6745" w:rsidRPr="00160E66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66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EA6745" w:rsidRPr="00937DDA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DA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1D5FB4" w:rsidRPr="00394D78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DA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606000" w:rsidRPr="00937DDA">
        <w:rPr>
          <w:rFonts w:ascii="Times New Roman" w:hAnsi="Times New Roman" w:cs="Times New Roman"/>
          <w:sz w:val="28"/>
          <w:szCs w:val="28"/>
        </w:rPr>
        <w:t>76 767 181,02</w:t>
      </w:r>
      <w:r w:rsidRPr="00937DDA">
        <w:rPr>
          <w:rFonts w:ascii="Times New Roman" w:hAnsi="Times New Roman" w:cs="Times New Roman"/>
          <w:sz w:val="28"/>
          <w:szCs w:val="28"/>
        </w:rPr>
        <w:t xml:space="preserve"> рублей сложилась в результате начисления налоговых доходов в сумме </w:t>
      </w:r>
      <w:r w:rsidR="00606000" w:rsidRPr="00937DDA">
        <w:rPr>
          <w:rFonts w:ascii="Times New Roman" w:hAnsi="Times New Roman" w:cs="Times New Roman"/>
          <w:sz w:val="28"/>
          <w:szCs w:val="28"/>
        </w:rPr>
        <w:t>8</w:t>
      </w:r>
      <w:r w:rsidR="001D5FB4" w:rsidRPr="00937DDA">
        <w:rPr>
          <w:rFonts w:ascii="Times New Roman" w:hAnsi="Times New Roman" w:cs="Times New Roman"/>
          <w:sz w:val="28"/>
          <w:szCs w:val="28"/>
        </w:rPr>
        <w:t> </w:t>
      </w:r>
      <w:r w:rsidR="00606000" w:rsidRPr="00937DDA">
        <w:rPr>
          <w:rFonts w:ascii="Times New Roman" w:hAnsi="Times New Roman" w:cs="Times New Roman"/>
          <w:sz w:val="28"/>
          <w:szCs w:val="28"/>
        </w:rPr>
        <w:t>12</w:t>
      </w:r>
      <w:r w:rsidR="00937DDA" w:rsidRPr="00937DDA">
        <w:rPr>
          <w:rFonts w:ascii="Times New Roman" w:hAnsi="Times New Roman" w:cs="Times New Roman"/>
          <w:sz w:val="28"/>
          <w:szCs w:val="28"/>
        </w:rPr>
        <w:t>5</w:t>
      </w:r>
      <w:r w:rsidR="001D5FB4" w:rsidRPr="00937DDA">
        <w:rPr>
          <w:rFonts w:ascii="Times New Roman" w:hAnsi="Times New Roman" w:cs="Times New Roman"/>
          <w:sz w:val="28"/>
          <w:szCs w:val="28"/>
        </w:rPr>
        <w:t> 204,31</w:t>
      </w:r>
      <w:r w:rsidRPr="00937DDA">
        <w:rPr>
          <w:rFonts w:ascii="Times New Roman" w:hAnsi="Times New Roman" w:cs="Times New Roman"/>
          <w:sz w:val="28"/>
          <w:szCs w:val="28"/>
        </w:rPr>
        <w:t xml:space="preserve"> рубля, доходов от собственности в сумме </w:t>
      </w:r>
      <w:r w:rsidR="001D5FB4" w:rsidRPr="00937DDA">
        <w:rPr>
          <w:rFonts w:ascii="Times New Roman" w:hAnsi="Times New Roman" w:cs="Times New Roman"/>
          <w:sz w:val="28"/>
          <w:szCs w:val="28"/>
        </w:rPr>
        <w:t>269 692,17</w:t>
      </w:r>
      <w:r w:rsidRPr="00937DDA">
        <w:rPr>
          <w:rFonts w:ascii="Times New Roman" w:hAnsi="Times New Roman" w:cs="Times New Roman"/>
          <w:sz w:val="28"/>
          <w:szCs w:val="28"/>
        </w:rPr>
        <w:t xml:space="preserve"> рублей, доходов от оказани</w:t>
      </w:r>
      <w:r w:rsidR="001D5FB4" w:rsidRPr="00937DDA">
        <w:rPr>
          <w:rFonts w:ascii="Times New Roman" w:hAnsi="Times New Roman" w:cs="Times New Roman"/>
          <w:sz w:val="28"/>
          <w:szCs w:val="28"/>
        </w:rPr>
        <w:t>я платных услуг (работ) в сумме</w:t>
      </w:r>
      <w:r w:rsidR="00872D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5FB4" w:rsidRPr="00937DDA">
        <w:rPr>
          <w:rFonts w:ascii="Times New Roman" w:hAnsi="Times New Roman" w:cs="Times New Roman"/>
          <w:sz w:val="28"/>
          <w:szCs w:val="28"/>
        </w:rPr>
        <w:t xml:space="preserve"> 5 900</w:t>
      </w:r>
      <w:r w:rsidRPr="00937DDA">
        <w:rPr>
          <w:rFonts w:ascii="Times New Roman" w:hAnsi="Times New Roman" w:cs="Times New Roman"/>
          <w:sz w:val="28"/>
          <w:szCs w:val="28"/>
        </w:rPr>
        <w:t>,0 рубл</w:t>
      </w:r>
      <w:r w:rsidR="00937DDA" w:rsidRPr="00937DDA">
        <w:rPr>
          <w:rFonts w:ascii="Times New Roman" w:hAnsi="Times New Roman" w:cs="Times New Roman"/>
          <w:sz w:val="28"/>
          <w:szCs w:val="28"/>
        </w:rPr>
        <w:t>ей</w:t>
      </w:r>
      <w:r w:rsidRPr="00937DDA">
        <w:rPr>
          <w:rFonts w:ascii="Times New Roman" w:hAnsi="Times New Roman" w:cs="Times New Roman"/>
          <w:sz w:val="28"/>
          <w:szCs w:val="28"/>
        </w:rPr>
        <w:t>,</w:t>
      </w:r>
      <w:r w:rsidR="00937DDA" w:rsidRPr="00937DDA">
        <w:rPr>
          <w:rFonts w:ascii="Times New Roman" w:hAnsi="Times New Roman" w:cs="Times New Roman"/>
          <w:sz w:val="28"/>
          <w:szCs w:val="28"/>
        </w:rPr>
        <w:t xml:space="preserve"> безвозмездных денежных поступлений текущего характера  49 646 600,95 рублей,</w:t>
      </w:r>
      <w:r w:rsidRPr="00937DDA">
        <w:rPr>
          <w:rFonts w:ascii="Times New Roman" w:hAnsi="Times New Roman" w:cs="Times New Roman"/>
          <w:sz w:val="28"/>
          <w:szCs w:val="28"/>
        </w:rPr>
        <w:t xml:space="preserve"> доходов от операций с активами </w:t>
      </w:r>
      <w:r w:rsidR="001D5FB4" w:rsidRPr="00937DDA">
        <w:rPr>
          <w:rFonts w:ascii="Times New Roman" w:hAnsi="Times New Roman" w:cs="Times New Roman"/>
          <w:sz w:val="28"/>
          <w:szCs w:val="28"/>
        </w:rPr>
        <w:t>– (минус) 84 230 247,08</w:t>
      </w:r>
      <w:r w:rsidRPr="00937DDA">
        <w:rPr>
          <w:rFonts w:ascii="Times New Roman" w:hAnsi="Times New Roman" w:cs="Times New Roman"/>
          <w:sz w:val="28"/>
          <w:szCs w:val="28"/>
        </w:rPr>
        <w:t xml:space="preserve"> </w:t>
      </w:r>
      <w:r w:rsidRPr="00394D78">
        <w:rPr>
          <w:rFonts w:ascii="Times New Roman" w:hAnsi="Times New Roman" w:cs="Times New Roman"/>
          <w:sz w:val="28"/>
          <w:szCs w:val="28"/>
        </w:rPr>
        <w:t>рубля</w:t>
      </w:r>
      <w:proofErr w:type="gramEnd"/>
      <w:r w:rsidRPr="00394D78">
        <w:rPr>
          <w:rFonts w:ascii="Times New Roman" w:hAnsi="Times New Roman" w:cs="Times New Roman"/>
          <w:sz w:val="28"/>
          <w:szCs w:val="28"/>
        </w:rPr>
        <w:t xml:space="preserve">, </w:t>
      </w:r>
      <w:r w:rsidR="00565597">
        <w:rPr>
          <w:rFonts w:ascii="Times New Roman" w:hAnsi="Times New Roman" w:cs="Times New Roman"/>
          <w:sz w:val="28"/>
          <w:szCs w:val="28"/>
        </w:rPr>
        <w:t xml:space="preserve"> </w:t>
      </w:r>
      <w:r w:rsidRPr="00394D78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proofErr w:type="spellStart"/>
      <w:r w:rsidR="001D5FB4" w:rsidRPr="00394D78">
        <w:rPr>
          <w:rFonts w:ascii="Times New Roman" w:hAnsi="Times New Roman" w:cs="Times New Roman"/>
          <w:sz w:val="28"/>
          <w:szCs w:val="28"/>
        </w:rPr>
        <w:t>не</w:t>
      </w:r>
      <w:r w:rsidRPr="00394D78">
        <w:rPr>
          <w:rFonts w:ascii="Times New Roman" w:hAnsi="Times New Roman" w:cs="Times New Roman"/>
          <w:sz w:val="28"/>
          <w:szCs w:val="28"/>
        </w:rPr>
        <w:t>денежных</w:t>
      </w:r>
      <w:proofErr w:type="spellEnd"/>
      <w:r w:rsidRPr="00394D78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1D5FB4" w:rsidRPr="00394D78">
        <w:rPr>
          <w:rFonts w:ascii="Times New Roman" w:hAnsi="Times New Roman" w:cs="Times New Roman"/>
          <w:sz w:val="28"/>
          <w:szCs w:val="28"/>
        </w:rPr>
        <w:t>в сектор государственного управления 102 950 030,67 рублей</w:t>
      </w:r>
      <w:r w:rsidRPr="00394D78">
        <w:rPr>
          <w:rFonts w:ascii="Times New Roman" w:hAnsi="Times New Roman" w:cs="Times New Roman"/>
          <w:sz w:val="28"/>
          <w:szCs w:val="28"/>
        </w:rPr>
        <w:t>.</w:t>
      </w:r>
    </w:p>
    <w:p w:rsidR="00EA6745" w:rsidRPr="00394D78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D78">
        <w:rPr>
          <w:rFonts w:ascii="Times New Roman" w:hAnsi="Times New Roman" w:cs="Times New Roman"/>
          <w:sz w:val="28"/>
          <w:szCs w:val="28"/>
        </w:rPr>
        <w:t>Расходы, согласно вышеуказанному отчету, по бюджетной деятельности составили</w:t>
      </w:r>
      <w:r w:rsidR="00937DDA" w:rsidRPr="00394D78">
        <w:rPr>
          <w:rFonts w:ascii="Times New Roman" w:hAnsi="Times New Roman" w:cs="Times New Roman"/>
          <w:sz w:val="28"/>
          <w:szCs w:val="28"/>
        </w:rPr>
        <w:t xml:space="preserve"> 78 455 07414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рублей, из них: на оплату труда                   и начисления – </w:t>
      </w:r>
      <w:r w:rsidR="00937DDA" w:rsidRPr="00394D78">
        <w:rPr>
          <w:rFonts w:ascii="Times New Roman" w:hAnsi="Times New Roman" w:cs="Times New Roman"/>
          <w:sz w:val="28"/>
          <w:szCs w:val="28"/>
        </w:rPr>
        <w:t>24 497 042,01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C187D" w:rsidRPr="00394D78">
        <w:rPr>
          <w:rFonts w:ascii="Times New Roman" w:hAnsi="Times New Roman" w:cs="Times New Roman"/>
          <w:sz w:val="28"/>
          <w:szCs w:val="28"/>
        </w:rPr>
        <w:t>31,2</w:t>
      </w:r>
      <w:r w:rsidRPr="00394D78">
        <w:rPr>
          <w:rFonts w:ascii="Times New Roman" w:hAnsi="Times New Roman" w:cs="Times New Roman"/>
          <w:sz w:val="28"/>
          <w:szCs w:val="28"/>
        </w:rPr>
        <w:t>%), на приобретение работ, услуг – 2</w:t>
      </w:r>
      <w:r w:rsidR="00EC187D" w:rsidRPr="00394D78">
        <w:rPr>
          <w:rFonts w:ascii="Times New Roman" w:hAnsi="Times New Roman" w:cs="Times New Roman"/>
          <w:sz w:val="28"/>
          <w:szCs w:val="28"/>
        </w:rPr>
        <w:t>5 905 357,06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рублей (3</w:t>
      </w:r>
      <w:r w:rsidR="00EC187D" w:rsidRPr="00394D78">
        <w:rPr>
          <w:rFonts w:ascii="Times New Roman" w:hAnsi="Times New Roman" w:cs="Times New Roman"/>
          <w:sz w:val="28"/>
          <w:szCs w:val="28"/>
        </w:rPr>
        <w:t>3,0</w:t>
      </w:r>
      <w:r w:rsidRPr="00394D78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бюджетам                     – 1</w:t>
      </w:r>
      <w:r w:rsidR="00EC187D" w:rsidRPr="00394D78">
        <w:rPr>
          <w:rFonts w:ascii="Times New Roman" w:hAnsi="Times New Roman" w:cs="Times New Roman"/>
          <w:sz w:val="28"/>
          <w:szCs w:val="28"/>
        </w:rPr>
        <w:t> 611 147,65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рубль (</w:t>
      </w:r>
      <w:r w:rsidR="00EC187D" w:rsidRPr="00394D78">
        <w:rPr>
          <w:rFonts w:ascii="Times New Roman" w:hAnsi="Times New Roman" w:cs="Times New Roman"/>
          <w:sz w:val="28"/>
          <w:szCs w:val="28"/>
        </w:rPr>
        <w:t>2,1</w:t>
      </w:r>
      <w:r w:rsidRPr="00394D78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                          – </w:t>
      </w:r>
      <w:r w:rsidR="00EC187D" w:rsidRPr="00394D78">
        <w:rPr>
          <w:rFonts w:ascii="Times New Roman" w:hAnsi="Times New Roman" w:cs="Times New Roman"/>
          <w:sz w:val="28"/>
          <w:szCs w:val="28"/>
        </w:rPr>
        <w:t>249 378,07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C187D" w:rsidRPr="00394D78">
        <w:rPr>
          <w:rFonts w:ascii="Times New Roman" w:hAnsi="Times New Roman" w:cs="Times New Roman"/>
          <w:sz w:val="28"/>
          <w:szCs w:val="28"/>
        </w:rPr>
        <w:t>0,3</w:t>
      </w:r>
      <w:r w:rsidRPr="00394D78">
        <w:rPr>
          <w:rFonts w:ascii="Times New Roman" w:hAnsi="Times New Roman" w:cs="Times New Roman"/>
          <w:sz w:val="28"/>
          <w:szCs w:val="28"/>
        </w:rPr>
        <w:t xml:space="preserve"> %), расходы по операциям с активами                                  – 2</w:t>
      </w:r>
      <w:r w:rsidR="00EC187D" w:rsidRPr="00394D78">
        <w:rPr>
          <w:rFonts w:ascii="Times New Roman" w:hAnsi="Times New Roman" w:cs="Times New Roman"/>
          <w:sz w:val="28"/>
          <w:szCs w:val="28"/>
        </w:rPr>
        <w:t>5 468 311,01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C187D" w:rsidRPr="00394D78">
        <w:rPr>
          <w:rFonts w:ascii="Times New Roman" w:hAnsi="Times New Roman" w:cs="Times New Roman"/>
          <w:sz w:val="28"/>
          <w:szCs w:val="28"/>
        </w:rPr>
        <w:t>32,5</w:t>
      </w:r>
      <w:r w:rsidRPr="00394D78">
        <w:rPr>
          <w:rFonts w:ascii="Times New Roman" w:hAnsi="Times New Roman" w:cs="Times New Roman"/>
          <w:sz w:val="28"/>
          <w:szCs w:val="28"/>
        </w:rPr>
        <w:t xml:space="preserve"> %), прочие</w:t>
      </w:r>
      <w:proofErr w:type="gramEnd"/>
      <w:r w:rsidRPr="00394D78">
        <w:rPr>
          <w:rFonts w:ascii="Times New Roman" w:hAnsi="Times New Roman" w:cs="Times New Roman"/>
          <w:sz w:val="28"/>
          <w:szCs w:val="28"/>
        </w:rPr>
        <w:t xml:space="preserve"> расходы – </w:t>
      </w:r>
      <w:r w:rsidR="00EC187D" w:rsidRPr="00394D78">
        <w:rPr>
          <w:rFonts w:ascii="Times New Roman" w:hAnsi="Times New Roman" w:cs="Times New Roman"/>
          <w:sz w:val="28"/>
          <w:szCs w:val="28"/>
        </w:rPr>
        <w:t>723 838,34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рублей                    (</w:t>
      </w:r>
      <w:r w:rsidR="00EC187D" w:rsidRPr="00394D78">
        <w:rPr>
          <w:rFonts w:ascii="Times New Roman" w:hAnsi="Times New Roman" w:cs="Times New Roman"/>
          <w:sz w:val="28"/>
          <w:szCs w:val="28"/>
        </w:rPr>
        <w:t>0,9</w:t>
      </w:r>
      <w:r w:rsidRPr="00394D78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78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по бюджетной деятельности сложился в сумме </w:t>
      </w:r>
      <w:r w:rsidR="00394D78" w:rsidRPr="00394D78">
        <w:rPr>
          <w:rFonts w:ascii="Times New Roman" w:hAnsi="Times New Roman" w:cs="Times New Roman"/>
          <w:sz w:val="28"/>
          <w:szCs w:val="28"/>
        </w:rPr>
        <w:t>-</w:t>
      </w:r>
      <w:r w:rsidR="00F24F0C">
        <w:rPr>
          <w:rFonts w:ascii="Times New Roman" w:hAnsi="Times New Roman" w:cs="Times New Roman"/>
          <w:sz w:val="28"/>
          <w:szCs w:val="28"/>
        </w:rPr>
        <w:t xml:space="preserve"> </w:t>
      </w:r>
      <w:r w:rsidRPr="00394D78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394D78" w:rsidRPr="00394D78">
        <w:rPr>
          <w:rFonts w:ascii="Times New Roman" w:hAnsi="Times New Roman" w:cs="Times New Roman"/>
          <w:sz w:val="28"/>
          <w:szCs w:val="28"/>
        </w:rPr>
        <w:t>1 687 893,12</w:t>
      </w:r>
      <w:r w:rsidRPr="00394D78">
        <w:rPr>
          <w:rFonts w:ascii="Times New Roman" w:hAnsi="Times New Roman" w:cs="Times New Roman"/>
          <w:sz w:val="28"/>
          <w:szCs w:val="28"/>
        </w:rPr>
        <w:t xml:space="preserve"> рубля, что соответствует финансовому результату согласно балансу исполнения бюджета                                ф. 05</w:t>
      </w:r>
      <w:r w:rsidRPr="005170BB">
        <w:rPr>
          <w:rFonts w:ascii="Times New Roman" w:hAnsi="Times New Roman" w:cs="Times New Roman"/>
          <w:sz w:val="28"/>
          <w:szCs w:val="28"/>
        </w:rPr>
        <w:t>03120 (стр. 560 гр. 8 – гр. 5).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B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0503110, по состоянию                                 на 01.01.2023 отклонений не выявлено. 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BB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BB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BB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394D78" w:rsidRPr="005170BB">
        <w:rPr>
          <w:rFonts w:ascii="Times New Roman" w:hAnsi="Times New Roman" w:cs="Times New Roman"/>
          <w:sz w:val="28"/>
          <w:szCs w:val="28"/>
        </w:rPr>
        <w:t>60 455 497,03</w:t>
      </w:r>
      <w:r w:rsidRPr="005170BB">
        <w:rPr>
          <w:rFonts w:ascii="Times New Roman" w:hAnsi="Times New Roman" w:cs="Times New Roman"/>
          <w:sz w:val="28"/>
          <w:szCs w:val="28"/>
        </w:rPr>
        <w:t xml:space="preserve"> рублей, в разделе «Выбытия» отражены расходы бюджета в размере – </w:t>
      </w:r>
      <w:r w:rsidR="005170BB" w:rsidRPr="005170BB">
        <w:rPr>
          <w:rFonts w:ascii="Times New Roman" w:hAnsi="Times New Roman" w:cs="Times New Roman"/>
          <w:sz w:val="28"/>
          <w:szCs w:val="28"/>
        </w:rPr>
        <w:t>60 599 632,17</w:t>
      </w:r>
      <w:r w:rsidRPr="005170BB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70BB" w:rsidRPr="005170BB">
        <w:rPr>
          <w:rFonts w:ascii="Times New Roman" w:hAnsi="Times New Roman" w:cs="Times New Roman"/>
          <w:sz w:val="28"/>
          <w:szCs w:val="28"/>
        </w:rPr>
        <w:t>я</w:t>
      </w:r>
      <w:r w:rsidRPr="005170BB">
        <w:rPr>
          <w:rFonts w:ascii="Times New Roman" w:hAnsi="Times New Roman" w:cs="Times New Roman"/>
          <w:sz w:val="28"/>
          <w:szCs w:val="28"/>
        </w:rPr>
        <w:t xml:space="preserve">, в разделе «Изменение остатков средств» отражена разница между доходами                  </w:t>
      </w:r>
      <w:r w:rsidR="00F24F0C">
        <w:rPr>
          <w:rFonts w:ascii="Times New Roman" w:hAnsi="Times New Roman" w:cs="Times New Roman"/>
          <w:sz w:val="28"/>
          <w:szCs w:val="28"/>
        </w:rPr>
        <w:t xml:space="preserve"> и расходами бюджета в размере -</w:t>
      </w:r>
      <w:r w:rsidRPr="005170BB">
        <w:rPr>
          <w:rFonts w:ascii="Times New Roman" w:hAnsi="Times New Roman" w:cs="Times New Roman"/>
          <w:sz w:val="28"/>
          <w:szCs w:val="28"/>
        </w:rPr>
        <w:t xml:space="preserve"> (минус) </w:t>
      </w:r>
      <w:r w:rsidR="005170BB" w:rsidRPr="005170BB">
        <w:rPr>
          <w:rFonts w:ascii="Times New Roman" w:hAnsi="Times New Roman" w:cs="Times New Roman"/>
          <w:sz w:val="28"/>
          <w:szCs w:val="28"/>
        </w:rPr>
        <w:t>144 135,14</w:t>
      </w:r>
      <w:r w:rsidRPr="005170B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BB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EA6745" w:rsidRPr="005170B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BB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EA6745" w:rsidRPr="00073ECF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CF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                 Инструкцией 191н.</w:t>
      </w:r>
    </w:p>
    <w:p w:rsidR="00EA6745" w:rsidRPr="00073ECF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информации </w:t>
      </w:r>
      <w:r w:rsidRPr="00073ECF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392EDB" w:rsidRPr="00392EDB" w:rsidRDefault="00392EDB" w:rsidP="00392ED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DB">
        <w:rPr>
          <w:rFonts w:ascii="Times New Roman" w:hAnsi="Times New Roman" w:cs="Times New Roman"/>
          <w:sz w:val="28"/>
          <w:szCs w:val="28"/>
        </w:rPr>
        <w:t xml:space="preserve">В </w:t>
      </w: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</w:t>
      </w:r>
      <w:r w:rsidRPr="00392EDB">
        <w:rPr>
          <w:rFonts w:ascii="Times New Roman" w:hAnsi="Times New Roman" w:cs="Times New Roman"/>
          <w:sz w:val="28"/>
          <w:szCs w:val="28"/>
        </w:rPr>
        <w:t xml:space="preserve"> </w:t>
      </w:r>
      <w:r w:rsidR="00EA6745" w:rsidRPr="00392EDB">
        <w:rPr>
          <w:rFonts w:ascii="Times New Roman" w:hAnsi="Times New Roman" w:cs="Times New Roman"/>
          <w:sz w:val="28"/>
          <w:szCs w:val="28"/>
        </w:rPr>
        <w:t>раздел</w:t>
      </w:r>
      <w:r w:rsidRPr="00392EDB">
        <w:rPr>
          <w:rFonts w:ascii="Times New Roman" w:hAnsi="Times New Roman" w:cs="Times New Roman"/>
          <w:sz w:val="28"/>
          <w:szCs w:val="28"/>
        </w:rPr>
        <w:t>а</w:t>
      </w:r>
      <w:r w:rsidR="00EA6745" w:rsidRPr="00392EDB">
        <w:rPr>
          <w:rFonts w:ascii="Times New Roman" w:hAnsi="Times New Roman" w:cs="Times New Roman"/>
          <w:sz w:val="28"/>
          <w:szCs w:val="28"/>
        </w:rPr>
        <w:t xml:space="preserve"> 5 «Прочие вопросы деятельности субъекта бюджетной </w:t>
      </w:r>
      <w:r w:rsidR="00EA6745" w:rsidRPr="00073ECF">
        <w:rPr>
          <w:rFonts w:ascii="Times New Roman" w:hAnsi="Times New Roman" w:cs="Times New Roman"/>
          <w:sz w:val="28"/>
          <w:szCs w:val="28"/>
        </w:rPr>
        <w:t xml:space="preserve">отчетности» </w:t>
      </w:r>
      <w:r w:rsidR="00977D66" w:rsidRPr="00073ECF">
        <w:rPr>
          <w:rFonts w:ascii="Times New Roman" w:hAnsi="Times New Roman" w:cs="Times New Roman"/>
          <w:sz w:val="28"/>
          <w:szCs w:val="28"/>
        </w:rPr>
        <w:t xml:space="preserve">Пояснительной записке (ф. 0503160) </w:t>
      </w:r>
      <w:r w:rsidRPr="0007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7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числовых показателей приведен перечень форм бюджетной отчётности с нулевыми значениями, что соответствует содержанию пунктов 8, 152 Инструкции № 191н.                  </w:t>
      </w:r>
    </w:p>
    <w:p w:rsidR="00EA6745" w:rsidRPr="00977D66" w:rsidRDefault="00977D66" w:rsidP="00EA67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745" w:rsidRPr="0097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                                               за 2022 год Контрольно-счетной палатой Ханты-Мансийского района осуществлялось на выборочной основе.</w:t>
      </w:r>
    </w:p>
    <w:p w:rsidR="00392EDB" w:rsidRPr="00EA6745" w:rsidRDefault="00392EDB" w:rsidP="00EA67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EA6745" w:rsidRPr="00772477" w:rsidRDefault="00EA6745" w:rsidP="00EA674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72477">
        <w:rPr>
          <w:rFonts w:ascii="Times New Roman" w:hAnsi="Times New Roman" w:cs="Times New Roman"/>
          <w:b/>
          <w:sz w:val="28"/>
          <w:szCs w:val="28"/>
        </w:rPr>
        <w:t>7. В</w:t>
      </w:r>
      <w:r w:rsidRPr="00772477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EA6745" w:rsidRPr="00772477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r w:rsidR="00772477" w:rsidRPr="0077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77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Контрольно-счетная палата                       Ханты-Мансийского района подтверждает достоверность отчета                         </w:t>
      </w:r>
      <w:r w:rsidRPr="0077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 исполнении бюджета сельского поселения и считает возможным предложить:</w:t>
      </w:r>
    </w:p>
    <w:p w:rsidR="00EA6745" w:rsidRPr="00EA6745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77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утвердить годовой отчет сельского поселения </w:t>
      </w:r>
      <w:r w:rsidR="00772477" w:rsidRPr="00CE7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CE7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4F0C" w:rsidRPr="00393552" w:rsidRDefault="00EA6745" w:rsidP="00F24F0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рекомендовать муниципальному о</w:t>
      </w:r>
      <w:r w:rsidR="00F24F0C"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бразованию «Сельское поселение Шапша»:</w:t>
      </w:r>
    </w:p>
    <w:p w:rsidR="00F24F0C" w:rsidRPr="00393552" w:rsidRDefault="00F24F0C" w:rsidP="00F24F0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уточнить содержание </w:t>
      </w:r>
      <w:r w:rsidR="00872DBD" w:rsidRPr="0088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Шапша от 30.10.2020 № 128 «Об утверждении Положения                       о порядке проведения внешней проверки годового отчета об исполнении бюджета сельского поселения Шапша»</w:t>
      </w:r>
      <w:r w:rsidR="008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</w:t>
      </w:r>
      <w:r w:rsidR="00393552"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="0087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393552"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 предоставляемых для проведения внешней проверки</w:t>
      </w:r>
      <w:r w:rsidR="0087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приложением к решению</w:t>
      </w: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6745" w:rsidRPr="00393552" w:rsidRDefault="00565597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A6745"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качество бюджетного планирования расходов бюджета сельского поселения;</w:t>
      </w:r>
    </w:p>
    <w:p w:rsidR="00EA6745" w:rsidRPr="00393552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EA6745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соблюдение норматива, установленного постановлением Правительства ХМАО – Югры от 23.08.2019 № 278-п     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Югре».</w:t>
      </w:r>
    </w:p>
    <w:p w:rsidR="00EA6745" w:rsidRDefault="00F24F0C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составление и представление годовой бюджетной отчетности за 2023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отчетности.</w:t>
      </w:r>
    </w:p>
    <w:p w:rsidR="00CE7FB2" w:rsidRDefault="00CE7FB2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E7FB2" w:rsidSect="00531015">
      <w:footerReference w:type="default" r:id="rId10"/>
      <w:footerReference w:type="first" r:id="rId11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CE" w:rsidRDefault="007159CE" w:rsidP="00617B40">
      <w:pPr>
        <w:spacing w:after="0" w:line="240" w:lineRule="auto"/>
      </w:pPr>
      <w:r>
        <w:separator/>
      </w:r>
    </w:p>
  </w:endnote>
  <w:endnote w:type="continuationSeparator" w:id="0">
    <w:p w:rsidR="007159CE" w:rsidRDefault="007159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6357"/>
      <w:docPartObj>
        <w:docPartGallery w:val="Page Numbers (Bottom of Page)"/>
        <w:docPartUnique/>
      </w:docPartObj>
    </w:sdtPr>
    <w:sdtEndPr/>
    <w:sdtContent>
      <w:p w:rsidR="007159CE" w:rsidRDefault="007159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B5">
          <w:rPr>
            <w:noProof/>
          </w:rPr>
          <w:t>15</w:t>
        </w:r>
        <w:r>
          <w:fldChar w:fldCharType="end"/>
        </w:r>
      </w:p>
    </w:sdtContent>
  </w:sdt>
  <w:p w:rsidR="007159CE" w:rsidRDefault="00715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4487"/>
      <w:docPartObj>
        <w:docPartGallery w:val="Page Numbers (Bottom of Page)"/>
        <w:docPartUnique/>
      </w:docPartObj>
    </w:sdtPr>
    <w:sdtEndPr/>
    <w:sdtContent>
      <w:p w:rsidR="007159CE" w:rsidRDefault="007159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B5">
          <w:rPr>
            <w:noProof/>
          </w:rPr>
          <w:t>1</w:t>
        </w:r>
        <w:r>
          <w:fldChar w:fldCharType="end"/>
        </w:r>
      </w:p>
    </w:sdtContent>
  </w:sdt>
  <w:p w:rsidR="007159CE" w:rsidRDefault="00715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CE" w:rsidRDefault="007159CE" w:rsidP="00617B40">
      <w:pPr>
        <w:spacing w:after="0" w:line="240" w:lineRule="auto"/>
      </w:pPr>
      <w:r>
        <w:separator/>
      </w:r>
    </w:p>
  </w:footnote>
  <w:footnote w:type="continuationSeparator" w:id="0">
    <w:p w:rsidR="007159CE" w:rsidRDefault="007159C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7F0"/>
    <w:rsid w:val="000059B5"/>
    <w:rsid w:val="00005BC7"/>
    <w:rsid w:val="00010003"/>
    <w:rsid w:val="00012153"/>
    <w:rsid w:val="00016140"/>
    <w:rsid w:val="00017C01"/>
    <w:rsid w:val="00022709"/>
    <w:rsid w:val="00031C05"/>
    <w:rsid w:val="00032568"/>
    <w:rsid w:val="00032BCA"/>
    <w:rsid w:val="000376DA"/>
    <w:rsid w:val="00037DF9"/>
    <w:rsid w:val="00041BC0"/>
    <w:rsid w:val="00042FA4"/>
    <w:rsid w:val="00045EB0"/>
    <w:rsid w:val="000519A0"/>
    <w:rsid w:val="000553F6"/>
    <w:rsid w:val="00066C92"/>
    <w:rsid w:val="00073ECF"/>
    <w:rsid w:val="000805A8"/>
    <w:rsid w:val="000808F4"/>
    <w:rsid w:val="0009154F"/>
    <w:rsid w:val="0009432A"/>
    <w:rsid w:val="0009485B"/>
    <w:rsid w:val="00094C89"/>
    <w:rsid w:val="000A20DE"/>
    <w:rsid w:val="000B1279"/>
    <w:rsid w:val="000B2CB0"/>
    <w:rsid w:val="000B30E4"/>
    <w:rsid w:val="000B3A5E"/>
    <w:rsid w:val="000B4C48"/>
    <w:rsid w:val="000B6BD3"/>
    <w:rsid w:val="000C5D87"/>
    <w:rsid w:val="000D0DC5"/>
    <w:rsid w:val="000D1BF1"/>
    <w:rsid w:val="000D299D"/>
    <w:rsid w:val="000D3397"/>
    <w:rsid w:val="000D55FC"/>
    <w:rsid w:val="000D5FD8"/>
    <w:rsid w:val="000D692E"/>
    <w:rsid w:val="000E2AD9"/>
    <w:rsid w:val="000E4D41"/>
    <w:rsid w:val="000E7242"/>
    <w:rsid w:val="000E76EF"/>
    <w:rsid w:val="000F242D"/>
    <w:rsid w:val="00106AD8"/>
    <w:rsid w:val="001102CA"/>
    <w:rsid w:val="00113324"/>
    <w:rsid w:val="00113D3B"/>
    <w:rsid w:val="001155F0"/>
    <w:rsid w:val="001176B0"/>
    <w:rsid w:val="001223FE"/>
    <w:rsid w:val="00122DF3"/>
    <w:rsid w:val="001339DC"/>
    <w:rsid w:val="0014119E"/>
    <w:rsid w:val="00150967"/>
    <w:rsid w:val="001527CC"/>
    <w:rsid w:val="0015793E"/>
    <w:rsid w:val="00160E66"/>
    <w:rsid w:val="00162D4D"/>
    <w:rsid w:val="001641B6"/>
    <w:rsid w:val="00166311"/>
    <w:rsid w:val="00167936"/>
    <w:rsid w:val="00172408"/>
    <w:rsid w:val="00173895"/>
    <w:rsid w:val="00182AA0"/>
    <w:rsid w:val="00182B80"/>
    <w:rsid w:val="00184769"/>
    <w:rsid w:val="001847D2"/>
    <w:rsid w:val="00185C17"/>
    <w:rsid w:val="0018600B"/>
    <w:rsid w:val="00186A59"/>
    <w:rsid w:val="0019541E"/>
    <w:rsid w:val="00197B9A"/>
    <w:rsid w:val="001A059E"/>
    <w:rsid w:val="001A0CA1"/>
    <w:rsid w:val="001A5D45"/>
    <w:rsid w:val="001A5DA6"/>
    <w:rsid w:val="001A6C1C"/>
    <w:rsid w:val="001A75F1"/>
    <w:rsid w:val="001B0A06"/>
    <w:rsid w:val="001B420C"/>
    <w:rsid w:val="001B49CE"/>
    <w:rsid w:val="001C2481"/>
    <w:rsid w:val="001C5C3F"/>
    <w:rsid w:val="001D29B4"/>
    <w:rsid w:val="001D5FB4"/>
    <w:rsid w:val="001E5DE4"/>
    <w:rsid w:val="001E66C5"/>
    <w:rsid w:val="001F6244"/>
    <w:rsid w:val="0020177F"/>
    <w:rsid w:val="0020430B"/>
    <w:rsid w:val="00210A08"/>
    <w:rsid w:val="002116BA"/>
    <w:rsid w:val="00213F29"/>
    <w:rsid w:val="00216931"/>
    <w:rsid w:val="0021693B"/>
    <w:rsid w:val="00220A2C"/>
    <w:rsid w:val="00224F51"/>
    <w:rsid w:val="00225C7D"/>
    <w:rsid w:val="002275BE"/>
    <w:rsid w:val="00227839"/>
    <w:rsid w:val="002300FD"/>
    <w:rsid w:val="00234040"/>
    <w:rsid w:val="002444C1"/>
    <w:rsid w:val="002452E9"/>
    <w:rsid w:val="00252094"/>
    <w:rsid w:val="002529F0"/>
    <w:rsid w:val="002544D7"/>
    <w:rsid w:val="0025572D"/>
    <w:rsid w:val="002610AF"/>
    <w:rsid w:val="00261D49"/>
    <w:rsid w:val="00262D35"/>
    <w:rsid w:val="00266F18"/>
    <w:rsid w:val="002675EE"/>
    <w:rsid w:val="002676CC"/>
    <w:rsid w:val="00273980"/>
    <w:rsid w:val="00276FC1"/>
    <w:rsid w:val="0028052E"/>
    <w:rsid w:val="002807E7"/>
    <w:rsid w:val="00297A80"/>
    <w:rsid w:val="00297D57"/>
    <w:rsid w:val="002A284A"/>
    <w:rsid w:val="002A6ED5"/>
    <w:rsid w:val="002A75A0"/>
    <w:rsid w:val="002B17D2"/>
    <w:rsid w:val="002B1D3A"/>
    <w:rsid w:val="002B24BE"/>
    <w:rsid w:val="002B3AB8"/>
    <w:rsid w:val="002C0984"/>
    <w:rsid w:val="002D0994"/>
    <w:rsid w:val="002D1200"/>
    <w:rsid w:val="002E1AD3"/>
    <w:rsid w:val="002E2B01"/>
    <w:rsid w:val="002E5115"/>
    <w:rsid w:val="002E7443"/>
    <w:rsid w:val="00300955"/>
    <w:rsid w:val="00301280"/>
    <w:rsid w:val="00307783"/>
    <w:rsid w:val="0031092A"/>
    <w:rsid w:val="00312A5A"/>
    <w:rsid w:val="00313986"/>
    <w:rsid w:val="003158AC"/>
    <w:rsid w:val="00320BC1"/>
    <w:rsid w:val="00324099"/>
    <w:rsid w:val="003362D5"/>
    <w:rsid w:val="00340020"/>
    <w:rsid w:val="00343AC1"/>
    <w:rsid w:val="00343BF0"/>
    <w:rsid w:val="00343FF5"/>
    <w:rsid w:val="00344E76"/>
    <w:rsid w:val="003553CD"/>
    <w:rsid w:val="00357F92"/>
    <w:rsid w:val="003624D8"/>
    <w:rsid w:val="003642CF"/>
    <w:rsid w:val="0036748C"/>
    <w:rsid w:val="00370825"/>
    <w:rsid w:val="00371277"/>
    <w:rsid w:val="00375D35"/>
    <w:rsid w:val="003824F7"/>
    <w:rsid w:val="0038404A"/>
    <w:rsid w:val="00392EDB"/>
    <w:rsid w:val="00393552"/>
    <w:rsid w:val="00393DAD"/>
    <w:rsid w:val="00394D78"/>
    <w:rsid w:val="0039505B"/>
    <w:rsid w:val="00397EFC"/>
    <w:rsid w:val="003A0785"/>
    <w:rsid w:val="003A135F"/>
    <w:rsid w:val="003A2EFF"/>
    <w:rsid w:val="003A56C7"/>
    <w:rsid w:val="003B5D4F"/>
    <w:rsid w:val="003B6D01"/>
    <w:rsid w:val="003C5B51"/>
    <w:rsid w:val="003D2EF7"/>
    <w:rsid w:val="003D7BD0"/>
    <w:rsid w:val="003E2FBA"/>
    <w:rsid w:val="003E6422"/>
    <w:rsid w:val="003E7DAB"/>
    <w:rsid w:val="003F2416"/>
    <w:rsid w:val="003F2A0F"/>
    <w:rsid w:val="003F3603"/>
    <w:rsid w:val="003F3EC2"/>
    <w:rsid w:val="004009FE"/>
    <w:rsid w:val="004019B1"/>
    <w:rsid w:val="00403895"/>
    <w:rsid w:val="00404BE7"/>
    <w:rsid w:val="004130B8"/>
    <w:rsid w:val="00417101"/>
    <w:rsid w:val="00422070"/>
    <w:rsid w:val="00426734"/>
    <w:rsid w:val="00427596"/>
    <w:rsid w:val="00431272"/>
    <w:rsid w:val="0043169D"/>
    <w:rsid w:val="004333EE"/>
    <w:rsid w:val="004340A3"/>
    <w:rsid w:val="00435130"/>
    <w:rsid w:val="00444FA4"/>
    <w:rsid w:val="0044500A"/>
    <w:rsid w:val="004477F9"/>
    <w:rsid w:val="00447E13"/>
    <w:rsid w:val="00453118"/>
    <w:rsid w:val="0045359C"/>
    <w:rsid w:val="00460094"/>
    <w:rsid w:val="00462DC9"/>
    <w:rsid w:val="004653DD"/>
    <w:rsid w:val="00465FC6"/>
    <w:rsid w:val="004755F1"/>
    <w:rsid w:val="004824C4"/>
    <w:rsid w:val="00485DEF"/>
    <w:rsid w:val="00487B40"/>
    <w:rsid w:val="004918AD"/>
    <w:rsid w:val="004972E4"/>
    <w:rsid w:val="004B23C4"/>
    <w:rsid w:val="004B28BF"/>
    <w:rsid w:val="004B433A"/>
    <w:rsid w:val="004C069C"/>
    <w:rsid w:val="004C5642"/>
    <w:rsid w:val="004C7125"/>
    <w:rsid w:val="004D0C0F"/>
    <w:rsid w:val="004E3A8E"/>
    <w:rsid w:val="004E5BF8"/>
    <w:rsid w:val="004E774A"/>
    <w:rsid w:val="004F1BB6"/>
    <w:rsid w:val="004F1E69"/>
    <w:rsid w:val="004F72DA"/>
    <w:rsid w:val="004F7CDE"/>
    <w:rsid w:val="004F7DC2"/>
    <w:rsid w:val="00506F00"/>
    <w:rsid w:val="00514E41"/>
    <w:rsid w:val="005170BB"/>
    <w:rsid w:val="0051732A"/>
    <w:rsid w:val="005247F7"/>
    <w:rsid w:val="00530929"/>
    <w:rsid w:val="00531015"/>
    <w:rsid w:val="00532CA8"/>
    <w:rsid w:val="00537560"/>
    <w:rsid w:val="005439BD"/>
    <w:rsid w:val="00546D7D"/>
    <w:rsid w:val="00554928"/>
    <w:rsid w:val="005579E6"/>
    <w:rsid w:val="00557C0A"/>
    <w:rsid w:val="00561D0B"/>
    <w:rsid w:val="0056439F"/>
    <w:rsid w:val="00565597"/>
    <w:rsid w:val="0056578B"/>
    <w:rsid w:val="0056694C"/>
    <w:rsid w:val="00572453"/>
    <w:rsid w:val="0057282F"/>
    <w:rsid w:val="00574539"/>
    <w:rsid w:val="005924C7"/>
    <w:rsid w:val="00595250"/>
    <w:rsid w:val="00595259"/>
    <w:rsid w:val="005952DA"/>
    <w:rsid w:val="005A2180"/>
    <w:rsid w:val="005A4090"/>
    <w:rsid w:val="005A515E"/>
    <w:rsid w:val="005A66B0"/>
    <w:rsid w:val="005B2935"/>
    <w:rsid w:val="005B40C8"/>
    <w:rsid w:val="005B4661"/>
    <w:rsid w:val="005B7083"/>
    <w:rsid w:val="005B7649"/>
    <w:rsid w:val="005C0ECE"/>
    <w:rsid w:val="005E2B98"/>
    <w:rsid w:val="005E41E5"/>
    <w:rsid w:val="005F0864"/>
    <w:rsid w:val="005F33F4"/>
    <w:rsid w:val="005F5B64"/>
    <w:rsid w:val="0060026A"/>
    <w:rsid w:val="00602651"/>
    <w:rsid w:val="006052BE"/>
    <w:rsid w:val="00606000"/>
    <w:rsid w:val="00617B40"/>
    <w:rsid w:val="006212C7"/>
    <w:rsid w:val="0062166C"/>
    <w:rsid w:val="00622A9E"/>
    <w:rsid w:val="00623C81"/>
    <w:rsid w:val="00624276"/>
    <w:rsid w:val="00626321"/>
    <w:rsid w:val="00626796"/>
    <w:rsid w:val="00630A36"/>
    <w:rsid w:val="00636F28"/>
    <w:rsid w:val="006425B5"/>
    <w:rsid w:val="00642860"/>
    <w:rsid w:val="00654814"/>
    <w:rsid w:val="0065543F"/>
    <w:rsid w:val="00655734"/>
    <w:rsid w:val="00661471"/>
    <w:rsid w:val="006615CF"/>
    <w:rsid w:val="006722F9"/>
    <w:rsid w:val="00672B05"/>
    <w:rsid w:val="00681141"/>
    <w:rsid w:val="006835DD"/>
    <w:rsid w:val="0068523F"/>
    <w:rsid w:val="006926E1"/>
    <w:rsid w:val="00693428"/>
    <w:rsid w:val="00696F3E"/>
    <w:rsid w:val="006978D7"/>
    <w:rsid w:val="006A1EB7"/>
    <w:rsid w:val="006A5B30"/>
    <w:rsid w:val="006B1282"/>
    <w:rsid w:val="006B29BB"/>
    <w:rsid w:val="006B76BE"/>
    <w:rsid w:val="006C37AF"/>
    <w:rsid w:val="006C6EC8"/>
    <w:rsid w:val="006C758F"/>
    <w:rsid w:val="006C77B8"/>
    <w:rsid w:val="006D18AE"/>
    <w:rsid w:val="006D495B"/>
    <w:rsid w:val="006D6DCA"/>
    <w:rsid w:val="006E20C4"/>
    <w:rsid w:val="006E6639"/>
    <w:rsid w:val="006F23A2"/>
    <w:rsid w:val="006F2E6C"/>
    <w:rsid w:val="006F3D2F"/>
    <w:rsid w:val="006F59D8"/>
    <w:rsid w:val="007006B5"/>
    <w:rsid w:val="0070333E"/>
    <w:rsid w:val="00712366"/>
    <w:rsid w:val="007159CE"/>
    <w:rsid w:val="00715BF5"/>
    <w:rsid w:val="00716D06"/>
    <w:rsid w:val="00720A82"/>
    <w:rsid w:val="0072193B"/>
    <w:rsid w:val="00724604"/>
    <w:rsid w:val="00724F0E"/>
    <w:rsid w:val="00727FB1"/>
    <w:rsid w:val="007343BF"/>
    <w:rsid w:val="00734A4E"/>
    <w:rsid w:val="007424F9"/>
    <w:rsid w:val="007440CD"/>
    <w:rsid w:val="0074772D"/>
    <w:rsid w:val="00747A70"/>
    <w:rsid w:val="00750F7B"/>
    <w:rsid w:val="007514CE"/>
    <w:rsid w:val="00751989"/>
    <w:rsid w:val="00752BDF"/>
    <w:rsid w:val="007550E5"/>
    <w:rsid w:val="00756899"/>
    <w:rsid w:val="00761A51"/>
    <w:rsid w:val="00767E37"/>
    <w:rsid w:val="00770CBB"/>
    <w:rsid w:val="00772477"/>
    <w:rsid w:val="0077481C"/>
    <w:rsid w:val="0077538A"/>
    <w:rsid w:val="00775E57"/>
    <w:rsid w:val="0077714E"/>
    <w:rsid w:val="00785C64"/>
    <w:rsid w:val="0078732C"/>
    <w:rsid w:val="007A0722"/>
    <w:rsid w:val="007A1FD1"/>
    <w:rsid w:val="007A22CF"/>
    <w:rsid w:val="007B0616"/>
    <w:rsid w:val="007B29C5"/>
    <w:rsid w:val="007B31D9"/>
    <w:rsid w:val="007B4921"/>
    <w:rsid w:val="007C16B5"/>
    <w:rsid w:val="007C246F"/>
    <w:rsid w:val="007C5828"/>
    <w:rsid w:val="007C72AA"/>
    <w:rsid w:val="007D09DC"/>
    <w:rsid w:val="007D227A"/>
    <w:rsid w:val="007D5820"/>
    <w:rsid w:val="007E0515"/>
    <w:rsid w:val="007E2265"/>
    <w:rsid w:val="007E5C21"/>
    <w:rsid w:val="007F4151"/>
    <w:rsid w:val="007F49F2"/>
    <w:rsid w:val="007F5D00"/>
    <w:rsid w:val="00801422"/>
    <w:rsid w:val="00801B1F"/>
    <w:rsid w:val="00805A4C"/>
    <w:rsid w:val="00822F9D"/>
    <w:rsid w:val="00827A88"/>
    <w:rsid w:val="00830414"/>
    <w:rsid w:val="0083303F"/>
    <w:rsid w:val="00840BB4"/>
    <w:rsid w:val="00841417"/>
    <w:rsid w:val="0084344F"/>
    <w:rsid w:val="00843E8A"/>
    <w:rsid w:val="008459BB"/>
    <w:rsid w:val="0084711C"/>
    <w:rsid w:val="00847957"/>
    <w:rsid w:val="00853484"/>
    <w:rsid w:val="00860568"/>
    <w:rsid w:val="008667B9"/>
    <w:rsid w:val="00870E9B"/>
    <w:rsid w:val="00872DBD"/>
    <w:rsid w:val="008770C9"/>
    <w:rsid w:val="008820DE"/>
    <w:rsid w:val="00886731"/>
    <w:rsid w:val="00887346"/>
    <w:rsid w:val="00887852"/>
    <w:rsid w:val="00897CB6"/>
    <w:rsid w:val="008A2040"/>
    <w:rsid w:val="008A2875"/>
    <w:rsid w:val="008A4DD7"/>
    <w:rsid w:val="008A5AF2"/>
    <w:rsid w:val="008C07DF"/>
    <w:rsid w:val="008C2ACB"/>
    <w:rsid w:val="008D0D23"/>
    <w:rsid w:val="008D0FFE"/>
    <w:rsid w:val="008D1622"/>
    <w:rsid w:val="008D6252"/>
    <w:rsid w:val="008E372A"/>
    <w:rsid w:val="008E4601"/>
    <w:rsid w:val="008E5C85"/>
    <w:rsid w:val="008F4F3F"/>
    <w:rsid w:val="00903CF1"/>
    <w:rsid w:val="0090504F"/>
    <w:rsid w:val="009051A3"/>
    <w:rsid w:val="009054FD"/>
    <w:rsid w:val="00907ABA"/>
    <w:rsid w:val="00911973"/>
    <w:rsid w:val="0091276D"/>
    <w:rsid w:val="00917B8D"/>
    <w:rsid w:val="00926A54"/>
    <w:rsid w:val="00927695"/>
    <w:rsid w:val="009309D6"/>
    <w:rsid w:val="00933810"/>
    <w:rsid w:val="00937DDA"/>
    <w:rsid w:val="00940764"/>
    <w:rsid w:val="00942124"/>
    <w:rsid w:val="00944A7C"/>
    <w:rsid w:val="00962B7D"/>
    <w:rsid w:val="0096338B"/>
    <w:rsid w:val="00963E87"/>
    <w:rsid w:val="00977D38"/>
    <w:rsid w:val="00977D66"/>
    <w:rsid w:val="00982BE7"/>
    <w:rsid w:val="009917B5"/>
    <w:rsid w:val="00993028"/>
    <w:rsid w:val="00995C7D"/>
    <w:rsid w:val="009A0A75"/>
    <w:rsid w:val="009A231B"/>
    <w:rsid w:val="009A3D32"/>
    <w:rsid w:val="009B4F70"/>
    <w:rsid w:val="009B779A"/>
    <w:rsid w:val="009C0855"/>
    <w:rsid w:val="009C1751"/>
    <w:rsid w:val="009C4A67"/>
    <w:rsid w:val="009D47D4"/>
    <w:rsid w:val="009D7383"/>
    <w:rsid w:val="009E3D45"/>
    <w:rsid w:val="009F4D45"/>
    <w:rsid w:val="009F6EC2"/>
    <w:rsid w:val="00A00CCF"/>
    <w:rsid w:val="00A03E49"/>
    <w:rsid w:val="00A04612"/>
    <w:rsid w:val="00A07D7C"/>
    <w:rsid w:val="00A116D3"/>
    <w:rsid w:val="00A13414"/>
    <w:rsid w:val="00A1405D"/>
    <w:rsid w:val="00A14960"/>
    <w:rsid w:val="00A20979"/>
    <w:rsid w:val="00A241F1"/>
    <w:rsid w:val="00A26C29"/>
    <w:rsid w:val="00A27FE5"/>
    <w:rsid w:val="00A31B9F"/>
    <w:rsid w:val="00A33D50"/>
    <w:rsid w:val="00A3518A"/>
    <w:rsid w:val="00A41903"/>
    <w:rsid w:val="00A42ED9"/>
    <w:rsid w:val="00A52C82"/>
    <w:rsid w:val="00A52E18"/>
    <w:rsid w:val="00A62768"/>
    <w:rsid w:val="00A676D4"/>
    <w:rsid w:val="00A75EC3"/>
    <w:rsid w:val="00A86515"/>
    <w:rsid w:val="00A96D06"/>
    <w:rsid w:val="00AB7007"/>
    <w:rsid w:val="00AB7ABD"/>
    <w:rsid w:val="00AB7BE4"/>
    <w:rsid w:val="00AC154B"/>
    <w:rsid w:val="00AC16A7"/>
    <w:rsid w:val="00AC194A"/>
    <w:rsid w:val="00AC2391"/>
    <w:rsid w:val="00AC2605"/>
    <w:rsid w:val="00AD36C2"/>
    <w:rsid w:val="00AD697A"/>
    <w:rsid w:val="00AE1C85"/>
    <w:rsid w:val="00AE4BD0"/>
    <w:rsid w:val="00AE50E2"/>
    <w:rsid w:val="00AE5BCC"/>
    <w:rsid w:val="00AE68F5"/>
    <w:rsid w:val="00AF15C6"/>
    <w:rsid w:val="00AF1991"/>
    <w:rsid w:val="00B0009B"/>
    <w:rsid w:val="00B02081"/>
    <w:rsid w:val="00B17E67"/>
    <w:rsid w:val="00B2079F"/>
    <w:rsid w:val="00B2259C"/>
    <w:rsid w:val="00B230DD"/>
    <w:rsid w:val="00B242E6"/>
    <w:rsid w:val="00B26C92"/>
    <w:rsid w:val="00B33E0B"/>
    <w:rsid w:val="00B35650"/>
    <w:rsid w:val="00B36438"/>
    <w:rsid w:val="00B36961"/>
    <w:rsid w:val="00B4273A"/>
    <w:rsid w:val="00B45166"/>
    <w:rsid w:val="00B45F61"/>
    <w:rsid w:val="00B4786F"/>
    <w:rsid w:val="00B47FF5"/>
    <w:rsid w:val="00B512D4"/>
    <w:rsid w:val="00B53A62"/>
    <w:rsid w:val="00B626AF"/>
    <w:rsid w:val="00B659C4"/>
    <w:rsid w:val="00B66E6D"/>
    <w:rsid w:val="00B71407"/>
    <w:rsid w:val="00B76CD1"/>
    <w:rsid w:val="00B777EC"/>
    <w:rsid w:val="00B81A2D"/>
    <w:rsid w:val="00B84424"/>
    <w:rsid w:val="00BA2DB4"/>
    <w:rsid w:val="00BA382E"/>
    <w:rsid w:val="00BB29EF"/>
    <w:rsid w:val="00BB5C30"/>
    <w:rsid w:val="00BB611F"/>
    <w:rsid w:val="00BB6639"/>
    <w:rsid w:val="00BB6CBE"/>
    <w:rsid w:val="00BB790C"/>
    <w:rsid w:val="00BB7B81"/>
    <w:rsid w:val="00BC0836"/>
    <w:rsid w:val="00BC199F"/>
    <w:rsid w:val="00BD1C82"/>
    <w:rsid w:val="00BD2BDF"/>
    <w:rsid w:val="00BD47AB"/>
    <w:rsid w:val="00BD4F3F"/>
    <w:rsid w:val="00BD51F4"/>
    <w:rsid w:val="00BE0332"/>
    <w:rsid w:val="00BE2AF4"/>
    <w:rsid w:val="00BF262A"/>
    <w:rsid w:val="00BF32A4"/>
    <w:rsid w:val="00BF40FF"/>
    <w:rsid w:val="00C002B4"/>
    <w:rsid w:val="00C00BC2"/>
    <w:rsid w:val="00C07FA5"/>
    <w:rsid w:val="00C10AE7"/>
    <w:rsid w:val="00C16253"/>
    <w:rsid w:val="00C16783"/>
    <w:rsid w:val="00C21D1F"/>
    <w:rsid w:val="00C239F1"/>
    <w:rsid w:val="00C32BD8"/>
    <w:rsid w:val="00C36897"/>
    <w:rsid w:val="00C36E7A"/>
    <w:rsid w:val="00C36F0C"/>
    <w:rsid w:val="00C36F5A"/>
    <w:rsid w:val="00C4059C"/>
    <w:rsid w:val="00C4593D"/>
    <w:rsid w:val="00C4735D"/>
    <w:rsid w:val="00C51F70"/>
    <w:rsid w:val="00C5370B"/>
    <w:rsid w:val="00C61A83"/>
    <w:rsid w:val="00C70645"/>
    <w:rsid w:val="00C73EA8"/>
    <w:rsid w:val="00C7412C"/>
    <w:rsid w:val="00C756F5"/>
    <w:rsid w:val="00C8020D"/>
    <w:rsid w:val="00C85C7B"/>
    <w:rsid w:val="00C86FAD"/>
    <w:rsid w:val="00C91974"/>
    <w:rsid w:val="00CA05A7"/>
    <w:rsid w:val="00CA2851"/>
    <w:rsid w:val="00CA7141"/>
    <w:rsid w:val="00CB1013"/>
    <w:rsid w:val="00CB43E7"/>
    <w:rsid w:val="00CC1D24"/>
    <w:rsid w:val="00CC243F"/>
    <w:rsid w:val="00CC4A3E"/>
    <w:rsid w:val="00CC7C2A"/>
    <w:rsid w:val="00CD49A4"/>
    <w:rsid w:val="00CE35F8"/>
    <w:rsid w:val="00CE7FB2"/>
    <w:rsid w:val="00CF3794"/>
    <w:rsid w:val="00CF44D0"/>
    <w:rsid w:val="00CF45B7"/>
    <w:rsid w:val="00CF744D"/>
    <w:rsid w:val="00D006B3"/>
    <w:rsid w:val="00D007DF"/>
    <w:rsid w:val="00D1170B"/>
    <w:rsid w:val="00D1388A"/>
    <w:rsid w:val="00D146EE"/>
    <w:rsid w:val="00D155CC"/>
    <w:rsid w:val="00D16880"/>
    <w:rsid w:val="00D17DD7"/>
    <w:rsid w:val="00D2059A"/>
    <w:rsid w:val="00D20948"/>
    <w:rsid w:val="00D213D8"/>
    <w:rsid w:val="00D245B5"/>
    <w:rsid w:val="00D26095"/>
    <w:rsid w:val="00D43162"/>
    <w:rsid w:val="00D44AF6"/>
    <w:rsid w:val="00D4701F"/>
    <w:rsid w:val="00D47809"/>
    <w:rsid w:val="00D503CF"/>
    <w:rsid w:val="00D53054"/>
    <w:rsid w:val="00D557B4"/>
    <w:rsid w:val="00D62995"/>
    <w:rsid w:val="00D64FB3"/>
    <w:rsid w:val="00D66462"/>
    <w:rsid w:val="00D73130"/>
    <w:rsid w:val="00D73A48"/>
    <w:rsid w:val="00D768D7"/>
    <w:rsid w:val="00D8061E"/>
    <w:rsid w:val="00D81082"/>
    <w:rsid w:val="00D873CA"/>
    <w:rsid w:val="00D91376"/>
    <w:rsid w:val="00D94278"/>
    <w:rsid w:val="00DA3941"/>
    <w:rsid w:val="00DA6C4B"/>
    <w:rsid w:val="00DA7876"/>
    <w:rsid w:val="00DB032D"/>
    <w:rsid w:val="00DB4ABC"/>
    <w:rsid w:val="00DB576F"/>
    <w:rsid w:val="00DB7A4C"/>
    <w:rsid w:val="00DC0388"/>
    <w:rsid w:val="00DC1FC8"/>
    <w:rsid w:val="00DC2CD9"/>
    <w:rsid w:val="00DC2D85"/>
    <w:rsid w:val="00DC4C41"/>
    <w:rsid w:val="00DC5E3C"/>
    <w:rsid w:val="00DC7777"/>
    <w:rsid w:val="00DD0ABD"/>
    <w:rsid w:val="00DD218C"/>
    <w:rsid w:val="00DD2AA2"/>
    <w:rsid w:val="00DD60B7"/>
    <w:rsid w:val="00DE01BC"/>
    <w:rsid w:val="00DE12FA"/>
    <w:rsid w:val="00DE32CE"/>
    <w:rsid w:val="00DE3F17"/>
    <w:rsid w:val="00DE44DA"/>
    <w:rsid w:val="00DE4CAD"/>
    <w:rsid w:val="00DE528A"/>
    <w:rsid w:val="00DE682A"/>
    <w:rsid w:val="00DF016B"/>
    <w:rsid w:val="00DF0E52"/>
    <w:rsid w:val="00DF3E78"/>
    <w:rsid w:val="00DF433B"/>
    <w:rsid w:val="00E020E1"/>
    <w:rsid w:val="00E024DC"/>
    <w:rsid w:val="00E04243"/>
    <w:rsid w:val="00E05238"/>
    <w:rsid w:val="00E05262"/>
    <w:rsid w:val="00E12491"/>
    <w:rsid w:val="00E159E9"/>
    <w:rsid w:val="00E22167"/>
    <w:rsid w:val="00E2346C"/>
    <w:rsid w:val="00E26486"/>
    <w:rsid w:val="00E265D4"/>
    <w:rsid w:val="00E347A9"/>
    <w:rsid w:val="00E35131"/>
    <w:rsid w:val="00E36F44"/>
    <w:rsid w:val="00E45DB6"/>
    <w:rsid w:val="00E463EB"/>
    <w:rsid w:val="00E46F1D"/>
    <w:rsid w:val="00E516F7"/>
    <w:rsid w:val="00E51AC1"/>
    <w:rsid w:val="00E527D4"/>
    <w:rsid w:val="00E53083"/>
    <w:rsid w:val="00E543D6"/>
    <w:rsid w:val="00E574D9"/>
    <w:rsid w:val="00E624C3"/>
    <w:rsid w:val="00E63EE2"/>
    <w:rsid w:val="00E73B9F"/>
    <w:rsid w:val="00E83850"/>
    <w:rsid w:val="00E91E84"/>
    <w:rsid w:val="00E95291"/>
    <w:rsid w:val="00E9617D"/>
    <w:rsid w:val="00EA36BD"/>
    <w:rsid w:val="00EA6745"/>
    <w:rsid w:val="00EA68EB"/>
    <w:rsid w:val="00EA7122"/>
    <w:rsid w:val="00EA745F"/>
    <w:rsid w:val="00EB02A2"/>
    <w:rsid w:val="00EB1AB4"/>
    <w:rsid w:val="00EB1B79"/>
    <w:rsid w:val="00EB5B17"/>
    <w:rsid w:val="00EC0451"/>
    <w:rsid w:val="00EC187D"/>
    <w:rsid w:val="00ED01A2"/>
    <w:rsid w:val="00ED123C"/>
    <w:rsid w:val="00EE186C"/>
    <w:rsid w:val="00EF0E8D"/>
    <w:rsid w:val="00EF214F"/>
    <w:rsid w:val="00EF738D"/>
    <w:rsid w:val="00F0040E"/>
    <w:rsid w:val="00F00562"/>
    <w:rsid w:val="00F02FFE"/>
    <w:rsid w:val="00F114E8"/>
    <w:rsid w:val="00F13928"/>
    <w:rsid w:val="00F13EE0"/>
    <w:rsid w:val="00F155DA"/>
    <w:rsid w:val="00F16219"/>
    <w:rsid w:val="00F20F4E"/>
    <w:rsid w:val="00F219A8"/>
    <w:rsid w:val="00F24F0C"/>
    <w:rsid w:val="00F262C9"/>
    <w:rsid w:val="00F27B64"/>
    <w:rsid w:val="00F34803"/>
    <w:rsid w:val="00F408F5"/>
    <w:rsid w:val="00F449DF"/>
    <w:rsid w:val="00F45DC5"/>
    <w:rsid w:val="00F45DDE"/>
    <w:rsid w:val="00F45E95"/>
    <w:rsid w:val="00F464D5"/>
    <w:rsid w:val="00F50786"/>
    <w:rsid w:val="00F50E76"/>
    <w:rsid w:val="00F54F00"/>
    <w:rsid w:val="00F55E37"/>
    <w:rsid w:val="00F60096"/>
    <w:rsid w:val="00F6014B"/>
    <w:rsid w:val="00F6142D"/>
    <w:rsid w:val="00F64E07"/>
    <w:rsid w:val="00F765C7"/>
    <w:rsid w:val="00F93F8F"/>
    <w:rsid w:val="00F94790"/>
    <w:rsid w:val="00F95C92"/>
    <w:rsid w:val="00FA4CF5"/>
    <w:rsid w:val="00FB7185"/>
    <w:rsid w:val="00FB7756"/>
    <w:rsid w:val="00FC0C16"/>
    <w:rsid w:val="00FC2F59"/>
    <w:rsid w:val="00FC3FBE"/>
    <w:rsid w:val="00FC5F00"/>
    <w:rsid w:val="00FD1544"/>
    <w:rsid w:val="00FD3243"/>
    <w:rsid w:val="00FD3CEA"/>
    <w:rsid w:val="00FE367D"/>
    <w:rsid w:val="00FE428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paragraph" w:customStyle="1" w:styleId="HEADERTEXT">
    <w:name w:val=".HEADERTEXT"/>
    <w:uiPriority w:val="99"/>
    <w:rsid w:val="0021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6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8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8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E7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paragraph" w:customStyle="1" w:styleId="HEADERTEXT">
    <w:name w:val=".HEADERTEXT"/>
    <w:uiPriority w:val="99"/>
    <w:rsid w:val="0021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6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8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8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E7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6949-5B46-4253-AD9A-DD986328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2023-03-24T11:16:00Z</dcterms:modified>
</cp:coreProperties>
</file>